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47A7A"/>
          <w:sz w:val="16"/>
        </w:rPr>
        <w:t>GREYHAVEN AUTHORITY  |  RECORDS OPERATIONS</w:t>
      </w:r>
    </w:p>
    <w:p>
      <w:pPr>
        <w:pStyle w:val="Title"/>
      </w:pPr>
      <w:r>
        <w:t>Service notice approval note</w:t>
      </w:r>
    </w:p>
    <w:p>
      <w:pPr>
        <w:pStyle w:val="Subtitle"/>
      </w:pPr>
      <w:r>
        <w:rPr>
          <w:color w:val="5B6573"/>
        </w:rPr>
        <w:t>For Idris Petrosyan • Records Operations decision support</w:t>
      </w:r>
    </w:p>
    <w:p>
      <w:pPr>
        <w:pStyle w:val="IntenseQuote"/>
      </w:pPr>
      <w:r>
        <w:t>Decision deadline: 09:30, 19 November 2028. This is the current service-notice approval window.</w:t>
      </w:r>
    </w:p>
    <w:p>
      <w:pPr>
        <w:pStyle w:val="Heading1"/>
      </w:pPr>
      <w:r>
        <w:t>Approval test</w:t>
      </w:r>
    </w:p>
    <w:p>
      <w:r>
        <w:t>Issue in the current window when the reported figure is reproducible under the Scottish Record Transfer Rule and no unresolved evidence gap affects a transfer included in that figure. Delay when an unresolved evidence gap could change the headline.</w:t>
      </w:r>
    </w:p>
    <w:p>
      <w:pPr>
        <w:pStyle w:val="Heading1"/>
      </w:pPr>
      <w:r>
        <w:t>Option A — issue a corrected notice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vAlign w:val="center"/>
          </w:tcPr>
          <w:p>
            <w:r>
              <w:rPr>
                <w:b/>
                <w:color w:val="FFFFFF"/>
              </w:rPr>
              <w:t>Documented benefit</w:t>
            </w:r>
          </w:p>
        </w:tc>
        <w:tc>
          <w:tcPr>
            <w:tcW w:type="dxa" w:w="4608"/>
            <w:vAlign w:val="center"/>
          </w:tcPr>
          <w:p>
            <w:r>
              <w:rPr>
                <w:b/>
                <w:color w:val="FFFFFF"/>
              </w:rPr>
              <w:t>Documented risk / mitigation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Resolves the disputed public figure and uses the current approval window.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The correction must be explained concisely so the change from the returned draft is clear.</w:t>
            </w:r>
          </w:p>
        </w:tc>
      </w:tr>
    </w:tbl>
    <w:p>
      <w:pPr>
        <w:pStyle w:val="Heading1"/>
      </w:pPr>
      <w:r>
        <w:t>Option B — delay the notice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vAlign w:val="center"/>
          </w:tcPr>
          <w:p>
            <w:r>
              <w:rPr>
                <w:b/>
                <w:color w:val="FFFFFF"/>
              </w:rPr>
              <w:t>Documented benefit</w:t>
            </w:r>
          </w:p>
        </w:tc>
        <w:tc>
          <w:tcPr>
            <w:tcW w:type="dxa" w:w="4608"/>
            <w:vAlign w:val="center"/>
          </w:tcPr>
          <w:p>
            <w:r>
              <w:rPr>
                <w:b/>
                <w:color w:val="FFFFFF"/>
              </w:rPr>
              <w:t>Documented operational consequence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  <w:t>Allows a further joint review of the records.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Misses the current approval window, leaves the disputed draft unresolved, and creates rework for the notice process.</w:t>
            </w:r>
          </w:p>
        </w:tc>
      </w:tr>
    </w:tbl>
    <w:p>
      <w:pPr>
        <w:pStyle w:val="Heading1"/>
      </w:pPr>
      <w:r>
        <w:t>Required recommendation</w:t>
      </w:r>
    </w:p>
    <w:p>
      <w:r>
        <w:t>The recommendation should state which option meets the approval test and give the evidence-based reason. No new facts should be added to the public notice.</w:t>
      </w:r>
    </w:p>
    <w:p>
      <w:pPr>
        <w:pStyle w:val="Caption"/>
      </w:pPr>
      <w:r>
        <w:t>Issued by Service Governance • 18 November 2028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A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