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F4E78"/>
          <w:sz w:val="30"/>
        </w:rPr>
        <w:t>MILLRACE AGRICULTURAL</w:t>
        <w:br/>
        <w:t>STOCKING-REBATE PROGRAM</w:t>
      </w:r>
    </w:p>
    <w:p>
      <w:pPr>
        <w:spacing w:after="80"/>
      </w:pPr>
      <w:r>
        <w:t>Counsel-review draft | Program basis: prior qualified purchases $187,150; current qualified purchases $208,500; change $21,350 (11.4%).</w:t>
      </w:r>
    </w:p>
    <w:p>
      <w:pPr>
        <w:spacing w:after="60"/>
      </w:pPr>
      <w:r>
        <w:t>This letter states draft program terms for review. It does not state an approval recommendation.</w:t>
      </w:r>
    </w:p>
    <w:p>
      <w:pPr>
        <w:pStyle w:val="TermHeading"/>
        <w:keepNext/>
        <w:numPr>
          <w:ilvl w:val="0"/>
          <w:numId w:val="9"/>
        </w:numPr>
      </w:pPr>
      <w:r>
        <w:t>Eligibility and Availability</w:t>
      </w:r>
    </w:p>
    <w:p>
      <w:pPr>
        <w:spacing w:after="40" w:line="240" w:lineRule="auto"/>
      </w:pPr>
      <w:r>
        <w:t>Participation is limited to wholesale agricultural-equipment distributors that stock the covered lines and perform comparable distribution functions. The program is functionally available to comparable accounts on comparable terms. Documented prospective-volume and service differences may support different prospective terms.</w:t>
      </w:r>
    </w:p>
    <w:p>
      <w:pPr>
        <w:pStyle w:val="TermHeading"/>
        <w:keepNext/>
        <w:numPr>
          <w:ilvl w:val="0"/>
          <w:numId w:val="9"/>
        </w:numPr>
      </w:pPr>
      <w:r>
        <w:t>Program Term and Earning Period</w:t>
      </w:r>
    </w:p>
    <w:p>
      <w:pPr>
        <w:spacing w:after="40" w:line="240" w:lineRule="auto"/>
      </w:pPr>
      <w:r>
        <w:t>The earning period begins January 1, 2026 and ends December 31, 2026. Tier attainment is measured over that complete earning period.</w:t>
      </w:r>
    </w:p>
    <w:p>
      <w:pPr>
        <w:pStyle w:val="TermHeading"/>
        <w:keepNext/>
        <w:numPr>
          <w:ilvl w:val="0"/>
          <w:numId w:val="9"/>
        </w:numPr>
      </w:pPr>
      <w:r>
        <w:t>Qualified Purchases</w:t>
      </w:r>
    </w:p>
    <w:p>
      <w:pPr>
        <w:spacing w:after="40" w:line="240" w:lineRule="auto"/>
      </w:pPr>
      <w:r>
        <w:t>Qualified purchases are approved stocking-product merchandise in the Till+Spray, Harvest, and Field Parts families, net of returns and credits recorded in the same period and family. Freight, tax, Special order, Non-stock, and other excluded transaction classes do not qualify.</w:t>
      </w:r>
    </w:p>
    <w:p>
      <w:pPr>
        <w:pStyle w:val="TermHeading"/>
        <w:keepNext/>
        <w:numPr>
          <w:ilvl w:val="0"/>
          <w:numId w:val="9"/>
        </w:numPr>
      </w:pPr>
      <w:r>
        <w:t>Volume Tiers and Rebate Rates</w:t>
      </w:r>
    </w:p>
    <w:p>
      <w:pPr>
        <w:spacing w:after="40" w:line="240" w:lineRule="auto"/>
      </w:pPr>
      <w:r>
        <w:t>Using current completed-period qualified purchases as the measurement base, the thresholds are $187,650 at 1.00%, $218,925 at 1.75%, and $250,200 at 2.50%. Each threshold is rounded up to the next whole dollar. The highest attained tier rate applies to all qualified purchases in the earning period.</w:t>
      </w:r>
    </w:p>
    <w:p>
      <w:r>
        <w:br w:type="page"/>
      </w:r>
    </w:p>
    <w:p>
      <w:pPr>
        <w:pStyle w:val="TermHeading"/>
        <w:keepNext/>
        <w:numPr>
          <w:ilvl w:val="0"/>
          <w:numId w:val="9"/>
        </w:numPr>
      </w:pPr>
      <w:r>
        <w:t>Provisional Credits</w:t>
      </w:r>
    </w:p>
    <w:p>
      <w:pPr>
        <w:spacing w:after="40" w:line="240" w:lineRule="auto"/>
      </w:pPr>
      <w:r>
        <w:t>Cinderhall may issue provisional credits quarterly at 1.00% of qualified purchases posted in that quarter. Each provisional credit is conditional and is not finally earned when issued.</w:t>
      </w:r>
    </w:p>
    <w:p>
      <w:pPr>
        <w:pStyle w:val="TermHeading"/>
        <w:keepNext/>
        <w:numPr>
          <w:ilvl w:val="0"/>
          <w:numId w:val="9"/>
        </w:numPr>
      </w:pPr>
      <w:r>
        <w:t>Year-End Determination and Recovery</w:t>
      </w:r>
    </w:p>
    <w:p>
      <w:pPr>
        <w:spacing w:after="40" w:line="240" w:lineRule="auto"/>
      </w:pPr>
      <w:r>
        <w:t>After year-end, the final earned rebate equals the highest attained tier rate multiplied by qualified purchases in the earning period. If provisional credits exceed the final earned rebate, the excess is recoverable by repayment or offset within 30 days after the year-end statement.</w:t>
      </w:r>
    </w:p>
    <w:p>
      <w:pPr>
        <w:pStyle w:val="TermHeading"/>
        <w:keepNext/>
        <w:numPr>
          <w:ilvl w:val="0"/>
          <w:numId w:val="9"/>
        </w:numPr>
      </w:pPr>
      <w:r>
        <w:t>Pricing Treatment</w:t>
      </w:r>
    </w:p>
    <w:p>
      <w:pPr>
        <w:spacing w:after="40" w:line="240" w:lineRule="auto"/>
      </w:pPr>
      <w:r>
        <w:t>Credits are contingent on final program performance and final qualification. They do not establish a guaranteed net price or an unconditional discount.</w:t>
      </w:r>
    </w:p>
    <w:p>
      <w:pPr>
        <w:pStyle w:val="TermHeading"/>
        <w:keepNext/>
        <w:numPr>
          <w:ilvl w:val="0"/>
          <w:numId w:val="9"/>
        </w:numPr>
      </w:pPr>
      <w:r>
        <w:t>Records and Verification</w:t>
      </w:r>
    </w:p>
    <w:p>
      <w:pPr>
        <w:spacing w:after="40" w:line="240" w:lineRule="auto"/>
      </w:pPr>
      <w:r>
        <w:t>Millrace will retain invoices, credit memoranda, shipment records, and product-stock records for program verification. Cinderhall may review those records for that purpose during the 24 months after the earning period.</w:t>
      </w:r>
    </w:p>
    <w:p>
      <w:r>
        <w:br w:type="page"/>
      </w:r>
    </w:p>
    <w:p>
      <w:pPr>
        <w:pStyle w:val="TermHeading"/>
        <w:keepNext/>
        <w:numPr>
          <w:ilvl w:val="0"/>
          <w:numId w:val="9"/>
        </w:numPr>
      </w:pPr>
      <w:r>
        <w:t>Illinois Administration</w:t>
      </w:r>
    </w:p>
    <w:p>
      <w:pPr>
        <w:spacing w:after="40" w:line="240" w:lineRule="auto"/>
      </w:pPr>
      <w:r>
        <w:t>For Illinois activity, provide the program statement before the earning period begins, identify quarterly credits as provisional on each credit memorandum, and issue the annual reconciliation statement no later than 45 days after December 31.</w:t>
      </w:r>
    </w:p>
    <w:p>
      <w:pPr>
        <w:pStyle w:val="TermHeading"/>
        <w:keepNext/>
        <w:numPr>
          <w:ilvl w:val="0"/>
          <w:numId w:val="9"/>
        </w:numPr>
      </w:pPr>
      <w:r>
        <w:t>Wisconsin Administration</w:t>
      </w:r>
    </w:p>
    <w:p>
      <w:pPr>
        <w:spacing w:after="40" w:line="240" w:lineRule="auto"/>
      </w:pPr>
      <w:r>
        <w:t>For Wisconsin activity, retain the program statement in the account file before the first provisional credit, provide the annual reconciliation statement no later than 60 days after December 31, and begin any recovery offset only after that statement.</w:t>
      </w:r>
    </w:p>
    <w:p>
      <w:pPr>
        <w:pStyle w:val="TermHeading"/>
        <w:keepNext/>
        <w:numPr>
          <w:ilvl w:val="0"/>
          <w:numId w:val="9"/>
        </w:numPr>
      </w:pPr>
      <w:r>
        <w:t>Termination and Amendments</w:t>
      </w:r>
    </w:p>
    <w:p>
      <w:pPr>
        <w:spacing w:after="40" w:line="240" w:lineRule="auto"/>
      </w:pPr>
      <w:r>
        <w:t>Termination requires 30 days written notice. Amendments are prospective only and do not alter a completed earning period.</w:t>
      </w:r>
    </w:p>
    <w:p>
      <w:pPr>
        <w:pStyle w:val="TermHeading"/>
        <w:keepNext/>
        <w:numPr>
          <w:ilvl w:val="0"/>
          <w:numId w:val="9"/>
        </w:numPr>
      </w:pPr>
      <w:r>
        <w:t>Acceptance</w:t>
      </w:r>
    </w:p>
    <w:p>
      <w:pPr>
        <w:spacing w:after="40" w:line="240" w:lineRule="auto"/>
      </w:pPr>
      <w:r>
        <w:t>Accepted and acknowledged:</w:t>
      </w:r>
    </w:p>
    <w:tbl>
      <w:tblPr>
        <w:tblW w:type="auto" w:w="0"/>
        <w:tblLayout w:type="fixed"/>
        <w:tblLook w:firstColumn="1" w:firstRow="1" w:lastColumn="0" w:lastRow="0" w:noHBand="0" w:noVBand="1" w:val="04A0"/>
      </w:tblPr>
      <w:tblGrid>
        <w:gridCol w:w="7056"/>
      </w:tblGrid>
      <w:tr>
        <w:tc>
          <w:tcPr>
            <w:tcW w:type="dxa" w:w="8136"/>
          </w:tcPr>
          <w:p>
            <w:pPr>
              <w:spacing w:after="0" w:line="240" w:lineRule="auto"/>
            </w:pPr>
            <w:r>
              <w:t>Signature: __________________________________________</w:t>
            </w:r>
          </w:p>
        </w:tc>
      </w:tr>
      <w:tr>
        <w:tc>
          <w:tcPr>
            <w:tcW w:type="dxa" w:w="8136"/>
          </w:tcPr>
          <w:p>
            <w:pPr>
              <w:spacing w:after="0" w:line="240" w:lineRule="auto"/>
            </w:pPr>
            <w:r>
              <w:t>Signature date: _____________________________________</w:t>
            </w:r>
          </w:p>
        </w:tc>
      </w:tr>
      <w:tr>
        <w:tc>
          <w:tcPr>
            <w:tcW w:type="dxa" w:w="8136"/>
          </w:tcPr>
          <w:p>
            <w:pPr>
              <w:spacing w:after="0" w:line="240" w:lineRule="auto"/>
            </w:pPr>
            <w:r>
              <w:t>Counsel comments:</w:t>
            </w:r>
          </w:p>
        </w:tc>
      </w:tr>
    </w:tbl>
    <w:sectPr w:rsidR="00FC693F" w:rsidRPr="0006063C" w:rsidSect="00034616">
      <w:headerReference w:type="default" r:id="rId9"/>
      <w:footerReference w:type="default" r:id="rId10"/>
      <w:pgSz w:w="12240" w:h="15840"/>
      <w:pgMar w:top="864" w:right="3096"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fldChar w:fldCharType="end"/>
    </w:r>
    <w: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sz w:val="16"/>
      </w:rPr>
      <w:t>DRAFT FOR COUNSEL REVIEW — STOCKING REBATE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Heading">
    <w:name w:val="Term Heading"/>
    <w:pPr>
      <w:spacing w:before="100" w:after="20"/>
    </w:pPr>
    <w:rPr>
      <w:rFonts w:ascii="Arial" w:hAnsi="Arial"/>
      <w:b/>
      <w:color w:val="1F4E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