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New-Issue Eligibility Screening Procedure</w:t>
      </w:r>
    </w:p>
    <w:p>
      <w:r>
        <w:rPr>
          <w:color w:val="5A5A5A"/>
          <w:sz w:val="16"/>
        </w:rPr>
        <w:t>OVERBROOK ALLIANCE  |  OPERATIONS CONTROL  |  Owner: New-Issues Operations</w:t>
      </w:r>
    </w:p>
    <w:p>
      <w:pPr>
        <w:pStyle w:val="Heading1"/>
      </w:pPr>
      <w:r>
        <w:t>Purpose and scope</w:t>
      </w:r>
    </w:p>
    <w:p>
      <w:r>
        <w:t>Use this system-neutral control before Overbrook Alliance confirms a U.S. new-issue allocation. It covers FINRA Rules 5130 (restricted persons) and 5131 (spinning), ownership and representations, and the allocation-confirmation decision. It does not replace suitability, AML/KYC, sales-practice, or offering-review work.</w:t>
      </w:r>
    </w:p>
    <w:p>
      <w:pPr>
        <w:pStyle w:val="Heading1"/>
      </w:pPr>
      <w:r>
        <w:t>Roles and states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6"/>
              </w:rPr>
              <w:t>Role / state</w:t>
            </w:r>
          </w:p>
        </w:tc>
        <w:tc>
          <w:tcPr>
            <w:tcW w:type="dxa" w:w="5328"/>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6"/>
              </w:rPr>
              <w:t>Operating meaning</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Relationship Owner (RO)</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Obtains customer facts and routes the completed intake; does not self-approve.</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Authorized customer representative</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Provides the representation, authority, ownership schedule and change notice.</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Operations reviewer</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Tests evidence, performs both rules, records rationale and time, and communicates the result.</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Supervisor / Compliance</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Reviews exemptions, contradictions, unusual structures or unresolved rule questions; no Operations waiver.</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Eligible</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Required checks complete and supportable. Allocation may be confirmed by the authorized desk.</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Ineligible</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A substantive restriction or failed requirement is established. Do not confirm; communicate the basis through RO/desk.</w:t>
            </w:r>
          </w:p>
        </w:tc>
      </w:tr>
      <w:tr>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Pending</w:t>
            </w:r>
          </w:p>
        </w:tc>
        <w:tc>
          <w:tcPr>
            <w:tcW w:type="dxa" w:w="5328"/>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A required fact is missing or conflicting. Do not confirm; assign follow-up and next action. Pending is not a rejection.</w:t>
            </w:r>
          </w:p>
        </w:tc>
      </w:tr>
    </w:tbl>
    <w:p>
      <w:pPr>
        <w:pStyle w:val="Heading1"/>
      </w:pPr>
      <w:r>
        <w:t>Required before confirmation</w:t>
      </w:r>
    </w:p>
    <w:p>
      <w:r>
        <w:t>Operations must have a current representation (obtained within the preceding 12 months, measured from certification date to contemplated allocation/sale date), enough ownership information to calculate applicable interests, and resolved known contrary facts. A proactive refresh request is good practice but, when no contrary fact exists, its absence is not an automatic rejection. Customers/authorized representatives must notify Overbrook of material changes; a dated certification cannot be relied on when Overbrook has reason to believe it is inaccurate.</w:t>
      </w:r>
    </w:p>
    <w:p>
      <w:pPr>
        <w:pStyle w:val="Heading1"/>
      </w:pPr>
      <w:r>
        <w:t>Ordered route</w:t>
      </w:r>
    </w:p>
    <w:p>
      <w:pPr>
        <w:pStyle w:val="Heading2"/>
      </w:pPr>
      <w:r>
        <w:t>1  Intake and identify</w:t>
      </w:r>
    </w:p>
    <w:p>
      <w:r>
        <w:t>RO logs request time, issue/issuer, allocation amount or shares, account number/reference, account holder/entity, account type (individual, joint, entity, fund, pooled or fund-of-funds), and contemplated allocation date. Attach the customer/RO intake.</w:t>
      </w:r>
    </w:p>
    <w:p>
      <w:pPr>
        <w:pStyle w:val="Heading2"/>
      </w:pPr>
      <w:r>
        <w:t>2  Obtain representation</w:t>
      </w:r>
    </w:p>
    <w:p>
      <w:r>
        <w:t>Confirm provider name, role/authority, signature or attestation and date. Check 12-month age. If expired, absent, or known facts conflict, set Pending and request a fresh or corrected representation; do not infer zero restricted ownership.</w:t>
      </w:r>
    </w:p>
    <w:p>
      <w:pPr>
        <w:pStyle w:val="Heading2"/>
      </w:pPr>
      <w:r>
        <w:t>3  Map beneficial interests</w:t>
      </w:r>
    </w:p>
    <w:p>
      <w:r>
        <w:t>Title is not enough. List each direct or indirect beneficial owner/class and percentage; aggregate restricted interests. For joint accounts, use actual shares of each owner. For entities and pooled/fund-of-funds, obtain look-through data or a reliable authorized representation describing the basis and unresolved data.</w:t>
      </w:r>
    </w:p>
    <w:p>
      <w:pPr>
        <w:pStyle w:val="Heading2"/>
      </w:pPr>
      <w:r>
        <w:t>4  Rule 5130 screen</w:t>
      </w:r>
    </w:p>
    <w:p>
      <w:r>
        <w:t>Ask about broker-dealer personnel, finders, fiduciaries, portfolio managers, and applicable immediate-family relationships. Family status is conditional: assess the covered person’s role and support, sharing, material benefit, or household circumstances. Record any specified account/entity exemption and factual support—never rely on “institutional” as a shortcut. The de minimis exemption applies only when restricted persons collectively hold no more than 10% of beneficial interests. Above 10%, or unsupported/missing data, is not cleared by this exemption.</w:t>
      </w:r>
    </w:p>
    <w:p>
      <w:pPr>
        <w:pStyle w:val="Heading2"/>
      </w:pPr>
      <w:r>
        <w:t>5  Rule 5131 spinning screen</w:t>
      </w:r>
    </w:p>
    <w:p>
      <w:r>
        <w:t>Run separately even if Rule 5130 is clear. Identify executive officers/directors of public companies and covered non-public companies, their company affiliation, beneficial-interest percentage, and current, prospective, or recent investment-banking relationship relevant to the allocation. The account-level de minimis threshold is no more than 25% aggregate beneficial interests of covered persons, but the relationship facts must also support the conclusion; 25% alone never settles spinning.</w:t>
      </w:r>
    </w:p>
    <w:p>
      <w:pPr>
        <w:pStyle w:val="Heading2"/>
      </w:pPr>
      <w:r>
        <w:t>6  Resolve and escalate</w:t>
      </w:r>
    </w:p>
    <w:p>
      <w:r>
        <w:t>Contradictory answers, unusual indirect structures, uncertain category/exemption, or facts that cannot be verified go to Supervisor/Compliance with account and issue identifiers, ownership schedule, certification, documents reviewed, conflict and question. Operations cannot waive a prohibition.</w:t>
      </w:r>
    </w:p>
    <w:p>
      <w:pPr>
        <w:pStyle w:val="Heading2"/>
      </w:pPr>
      <w:r>
        <w:t>7  Record disposition</w:t>
      </w:r>
    </w:p>
    <w:p>
      <w:r>
        <w:t>Select exactly Eligible, Ineligible, or Pending. Record rule basis, exemption (if any), threshold calculations, evidence, reviewer, date/time and communications. Eligible permits confirmation; Ineligible blocks it; Pending blocks it until resolved.</w:t>
      </w:r>
    </w:p>
    <w:p>
      <w:pPr>
        <w:pStyle w:val="Heading2"/>
      </w:pPr>
      <w:r>
        <w:t>8  Communicate and retain</w:t>
      </w:r>
    </w:p>
    <w:p>
      <w:r>
        <w:t>Operations tells RO/authorized desk the state and next action; ineligible communications state the basis without implying a waiver. Retain/link intake, representation, schedules, evidence, escalation and final allocation disposition with the account/allocation record so a supervisor can reconstruct who decided what, when, and why.</w:t>
      </w:r>
    </w:p>
    <w:p>
      <w:r>
        <w:br w:type="page"/>
      </w:r>
    </w:p>
    <w:p>
      <w:pPr>
        <w:pStyle w:val="Heading1"/>
      </w:pPr>
      <w:r>
        <w:t>Screening guidance by structure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6"/>
              </w:rPr>
              <w:t>Structure</w:t>
            </w:r>
          </w:p>
        </w:tc>
        <w:tc>
          <w:tcPr>
            <w:tcW w:type="dxa" w:w="3552"/>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6"/>
              </w:rPr>
              <w:t>What Operations must establish</w:t>
            </w:r>
          </w:p>
        </w:tc>
        <w:tc>
          <w:tcPr>
            <w:tcW w:type="dxa" w:w="3552"/>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6"/>
              </w:rPr>
              <w:t>If not established</w:t>
            </w:r>
          </w:p>
        </w:tc>
      </w:tr>
      <w:tr>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Individual</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Holder identity, restricted/covered status, ownership (100%), representation and dates.</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Pending; obtain/resolve facts.</w:t>
            </w:r>
          </w:p>
        </w:tc>
      </w:tr>
      <w:tr>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Joint</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Each owner’s beneficial percentage and status; aggregate restricted and covered interests; document any valid exemption.</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Pending—not automatic approval or rejection from one owner.</w:t>
            </w:r>
          </w:p>
        </w:tc>
      </w:tr>
      <w:tr>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Entity</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Underlying beneficial owners/classes, percentages and role categories; exact exemption basis if applicable.</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Pending or Ineligible depending on known facts; never title-only.</w:t>
            </w:r>
          </w:p>
        </w:tc>
      </w:tr>
      <w:tr>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Pooled vehicle</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Vehicle structure, direct/indirect interests, authorized preparer and reliable look-through representation.</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Pending; missing data is not 0%.</w:t>
            </w:r>
          </w:p>
        </w:tc>
      </w:tr>
      <w:tr>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Fund-of-funds</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Underlying funds/owners or defensible authorized representation, with scope and date.</w:t>
            </w:r>
          </w:p>
        </w:tc>
        <w:tc>
          <w:tcPr>
            <w:tcW w:type="dxa" w:w="3552"/>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6"/>
              </w:rPr>
              <w:t>Pending; escalate if representation is contradictory or unreliable.</w:t>
            </w:r>
          </w:p>
        </w:tc>
      </w:tr>
    </w:tbl>
    <w:p>
      <w:pPr>
        <w:pStyle w:val="Heading1"/>
      </w:pPr>
      <w:r>
        <w:t>Evidence standard</w:t>
      </w:r>
    </w:p>
    <w:p>
      <w:r>
        <w:t>Accept dated customer/authorized-representative certifications, ownership schedules, governing or offering records, and documented internal records that identify source and date. Record what was reviewed, not just “checked.” When relying on an exemption, name the exact exemption and facts. Do not create a side agreement to earmark allocation economics away from a restricted owner; only a valid documented account structure and eligibility basis count.</w:t>
      </w:r>
    </w:p>
    <w:p>
      <w:pPr>
        <w:pStyle w:val="Heading1"/>
      </w:pPr>
      <w:r>
        <w:t>Mandatory vs prudent</w:t>
      </w:r>
    </w:p>
    <w:p>
      <w:r>
        <w:t>Must: current representation within 12 months; sufficient ownership/indirect-interest basis; separate 5130 and 5131 determinations; resolution of known contrary facts; evidence, reviewer and timestamp; no confirmation for Pending/Ineligible. Should: send proactive event-update reminders and refresh outreach before the 12-month edge when no contrary information exists. A “should” follow-up may improve control but does not itself create automatic ineligibility.</w:t>
      </w:r>
    </w:p>
    <w:p>
      <w:pPr>
        <w:pStyle w:val="Heading1"/>
      </w:pPr>
      <w:r>
        <w:t>Late-day branch — 4:40 p.m. request / 5:00 p.m. close</w:t>
      </w:r>
    </w:p>
    <w:p>
      <w:r>
        <w:t>If the syndicate desk sends a request at 4:40 p.m., the customer/RO has not answered, and no provisional eligibility confirmation is permitted: (a) log request time and unresolved fact(s); (b) make and time-stamp follow-up attempt(s); (c) set Pending; (d) promptly alert the syndicate desk and Operations supervisor with the record; (e) do not confirm before 5:00 p.m. The authorized desk may hold, reallocate, let the opportunity lapse, or reconsider later under a fresh review. Record desk disposition, escalation recipient/time and final status. No answer by the deadline is not, by itself, permanent customer Ineligible.</w:t>
      </w:r>
    </w:p>
    <w:p>
      <w:pPr>
        <w:pStyle w:val="Heading1"/>
      </w:pPr>
      <w:r>
        <w:t>Quick decision table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5"/>
              </w:rPr>
              <w:t>Question</w:t>
            </w:r>
          </w:p>
        </w:tc>
        <w:tc>
          <w:tcPr>
            <w:tcW w:type="dxa" w:w="2664"/>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5"/>
              </w:rPr>
              <w:t>Eligible</w:t>
            </w:r>
          </w:p>
        </w:tc>
        <w:tc>
          <w:tcPr>
            <w:tcW w:type="dxa" w:w="2664"/>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5"/>
              </w:rPr>
              <w:t>Ineligible</w:t>
            </w:r>
          </w:p>
        </w:tc>
        <w:tc>
          <w:tcPr>
            <w:tcW w:type="dxa" w:w="2664"/>
            <w:vAlign w:val="center"/>
            <w:shd w:fill="D9E5F3"/>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sz w:val="15"/>
              </w:rPr>
              <w:t>Pending</w:t>
            </w:r>
          </w:p>
        </w:tc>
      </w:tr>
      <w:tr>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Required evidence/current representation?</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Yes, within 12 months and reliable</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Known false/failed or substantive restriction</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Absent, expired, conflicting or unresolved</w:t>
            </w:r>
          </w:p>
        </w:tc>
      </w:tr>
      <w:tr>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Rule 5130</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No restriction, or documented exemption (restricted total ≤10%)</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Restriction/exemption failure established</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Ownership/category cannot be established</w:t>
            </w:r>
          </w:p>
        </w:tc>
      </w:tr>
      <w:tr>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Rule 5131</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Covered-person/relationship facts support clearance (covered total ≤25% where applicable)</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Spinning restriction established</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Relationship or ownership facts unresolved</w:t>
            </w:r>
          </w:p>
        </w:tc>
      </w:tr>
      <w:tr>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Allocation confirmation</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May confirm</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Must not confirm</w:t>
            </w:r>
          </w:p>
        </w:tc>
        <w:tc>
          <w:tcPr>
            <w:tcW w:type="dxa" w:w="2664"/>
            <w:vAlign w:val="center"/>
            <w:tcBorders>
              <w:top w:val="single" w:sz="6" w:color="B7C3D0"/>
              <w:left w:val="single" w:sz="6" w:color="B7C3D0"/>
              <w:bottom w:val="single" w:sz="6" w:color="B7C3D0"/>
              <w:right w:val="single" w:sz="6" w:color="B7C3D0"/>
              <w:insideH w:val="single" w:sz="6" w:color="B7C3D0"/>
              <w:insideV w:val="single" w:sz="6" w:color="B7C3D0"/>
            </w:tcBorders>
          </w:tcPr>
          <w:p>
            <w:pPr>
              <w:spacing w:after="0"/>
            </w:pPr>
            <w:r/>
            <w:r>
              <w:rPr>
                <w:b w:val="0"/>
                <w:sz w:val="15"/>
              </w:rPr>
              <w:t>Must not confirm; follow up and reassess</w:t>
            </w:r>
          </w:p>
        </w:tc>
      </w:tr>
    </w:tbl>
    <w:p>
      <w:pPr/>
      <w:r>
        <w:rPr>
          <w:b/>
        </w:rPr>
        <w:t>Control note: the 10% Rule 5130 test is not a universal new-issue test. A separate Rule 5131 analysis is always required where applicable.</w:t>
      </w:r>
    </w:p>
    <w:p>
      <w:pPr/>
      <w:r>
        <w:rPr>
          <w:sz w:val="15"/>
        </w:rPr>
        <w:t>Document owner: New-Issues Operations  |  Version: 1.0  |  Review trail: retain with allocation record</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F3864"/>
      <w:sz w:val="24"/>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rial" w:hAnsi="Arial"/>
      <w:b/>
      <w:bCs/>
      <w:color w:val="44444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86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