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F4E78"/>
          <w:sz w:val="36"/>
        </w:rPr>
        <w:t>Dalefield Coupling Defect and Exposure Report</w:t>
      </w:r>
    </w:p>
    <w:p>
      <w:pPr>
        <w:spacing w:after="100"/>
      </w:pPr>
      <w:r>
        <w:rPr>
          <w:rFonts w:ascii="Aptos" w:hAnsi="Aptos"/>
          <w:i/>
          <w:color w:val="5B6570"/>
          <w:sz w:val="19"/>
        </w:rPr>
        <w:t>Friday run reconciliation for Ontario and Michigan</w:t>
      </w:r>
    </w:p>
    <w:p>
      <w:r>
        <w:rPr>
          <w:b/>
        </w:rPr>
        <w:t xml:space="preserve">Prepared by: </w:t>
      </w:r>
      <w:r>
        <w:t>Hilde Ekstrom, Hawthorne Associates</w:t>
      </w:r>
      <w:r>
        <w:rPr>
          <w:b/>
        </w:rPr>
        <w:t xml:space="preserve">    For: </w:t>
      </w:r>
      <w:r>
        <w:t>Lars Toledano</w:t>
      </w:r>
      <w:r>
        <w:rPr>
          <w:b/>
        </w:rPr>
        <w:t xml:space="preserve">    Run: </w:t>
      </w:r>
      <w:r>
        <w:t>FRI-ONT-MI-2026-08-21 | Friday, 21 August 2026</w:t>
      </w:r>
    </w:p>
    <w:p>
      <w:pPr>
        <w:pStyle w:val="Heading1"/>
      </w:pPr>
      <w:r>
        <w:t>Method and assumptions</w:t>
      </w:r>
    </w:p>
    <w:p>
      <w:r>
        <w:rPr>
          <w:b/>
        </w:rPr>
        <w:t xml:space="preserve">Exposure definition and analyst choice. </w:t>
      </w:r>
      <w:r>
        <w:t>Exposure is the expected number of accepted-into-service coupling pieces, not the number of cartons and not the dispatched-carton population. The supplied materials provide both populations but do not prescribe the exposure basis; accepted-into-service was selected and used for every current result.</w:t>
      </w:r>
    </w:p>
    <w:p>
      <w:r>
        <w:rPr>
          <w:b/>
        </w:rPr>
        <w:t xml:space="preserve">Precedence and matching. </w:t>
      </w:r>
      <w:r>
        <w:t>Each Coupling Key was trimmed and case-folded with UPPER(TRIM(key)). Dispatch supplies run, destination, and shipment status. Inspection supplies disposition, accepted carton quantity, and observed rate. Scope requires the supplied Friday run/date and a dispatch destination of Ontario or Michigan.</w:t>
      </w:r>
    </w:p>
    <w:p>
      <w:r>
        <w:rPr>
          <w:b/>
        </w:rPr>
        <w:t xml:space="preserve">Calculation facts. </w:t>
      </w:r>
      <w:r>
        <w:t>The memo supplies 43 coupling pieces per carton, a 20.00% review threshold, and 2-decimal-percent comparison precision. Raw rates remain quoted as supplied. For comparison, the raw percent is rounded to 2 decimal places; expected exposed coupling-equivalent = coupling pieces x normalised rate / 100. The Residual Calc helper is not an input.</w:t>
      </w:r>
    </w:p>
    <w:p>
      <w:pPr>
        <w:pStyle w:val="Heading1"/>
      </w:pPr>
      <w:r>
        <w:t>Current exposure | Friday run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</w:trPr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Jurisdiction</w:t>
            </w:r>
          </w:p>
        </w:tc>
        <w:tc>
          <w:tcPr>
            <w:tcW w:type="dxa" w:w="97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Accepted cartons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Pieces/ carton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Population coupling pieces</w:t>
            </w:r>
          </w:p>
        </w:tc>
        <w:tc>
          <w:tcPr>
            <w:tcW w:type="dxa" w:w="110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Raw rate</w:t>
            </w:r>
          </w:p>
        </w:tc>
        <w:tc>
          <w:tcPr>
            <w:tcW w:type="dxa" w:w="10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Normalised rate</w:t>
            </w:r>
          </w:p>
        </w:tc>
        <w:tc>
          <w:tcPr>
            <w:tcW w:type="dxa" w:w="96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Threshold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exposure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Ontario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1548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22.6000000004%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22.60%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20.00%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Above threshold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349.85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Michigan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32</w:t>
            </w:r>
          </w:p>
        </w:tc>
        <w:tc>
          <w:tcPr>
            <w:tcW w:type="dxa" w:w="93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43</w:t>
            </w:r>
          </w:p>
        </w:tc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1376</w:t>
            </w:r>
          </w:p>
        </w:tc>
        <w:tc>
          <w:tcPr>
            <w:tcW w:type="dxa" w:w="110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18.4000000003%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18.40%</w:t>
            </w:r>
          </w:p>
        </w:tc>
        <w:tc>
          <w:tcPr>
            <w:tcW w:type="dxa" w:w="965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20.00%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Below threshold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253.18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Combined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2924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applicable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603.03</w:t>
            </w:r>
          </w:p>
        </w:tc>
      </w:tr>
    </w:tbl>
    <w:p>
      <w:pPr>
        <w:spacing w:after="0" w:before="0"/>
      </w:pPr>
    </w:p>
    <w:p>
      <w:pPr>
        <w:spacing w:after="20"/>
      </w:pPr>
      <w:r>
        <w:rPr>
          <w:b/>
        </w:rPr>
        <w:t xml:space="preserve">Current totals are derived only from six matched in-scope records: Ontario 3 and Michigan 3. </w:t>
      </w:r>
      <w:r>
        <w:t>The Quebec pair (Friday date) and Ohio pair (Thursday run/date) were normalized and matched but excluded from current exposure and all projections.</w:t>
      </w:r>
    </w:p>
    <w:p>
      <w:pPr>
        <w:pStyle w:val="Heading1"/>
      </w:pPr>
      <w:r>
        <w:t>Source and reconciliation trail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</w:trPr>
        <w:tc>
          <w:tcPr>
            <w:tcW w:type="dxa" w:w="13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Normalised key</w:t>
            </w:r>
          </w:p>
        </w:tc>
        <w:tc>
          <w:tcPr>
            <w:tcW w:type="dxa" w:w="97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Inspection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Dispatch</w:t>
            </w:r>
          </w:p>
        </w:tc>
        <w:tc>
          <w:tcPr>
            <w:tcW w:type="dxa" w:w="9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Destination</w:t>
            </w:r>
          </w:p>
        </w:tc>
        <w:tc>
          <w:tcPr>
            <w:tcW w:type="dxa" w:w="97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Accepted cartons</w:t>
            </w:r>
          </w:p>
        </w:tc>
        <w:tc>
          <w:tcPr>
            <w:tcW w:type="dxa" w:w="10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Dispatched cartons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Chosen coupling pieces</w:t>
            </w:r>
          </w:p>
        </w:tc>
        <w:tc>
          <w:tcPr>
            <w:tcW w:type="dxa" w:w="10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Raw rate</w:t>
            </w:r>
          </w:p>
        </w:tc>
        <w:tc>
          <w:tcPr>
            <w:tcW w:type="dxa" w:w="110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Normalised rate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DF-ONT-041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DSP-8101</w:t>
            </w:r>
          </w:p>
        </w:tc>
        <w:tc>
          <w:tcPr>
            <w:tcW w:type="dxa" w:w="9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Ontario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516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22.6000000004%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DF-ONT-042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INSP-2402</w:t>
            </w:r>
          </w:p>
        </w:tc>
        <w:tc>
          <w:tcPr>
            <w:tcW w:type="dxa" w:w="93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DSP-8102</w:t>
            </w:r>
          </w:p>
        </w:tc>
        <w:tc>
          <w:tcPr>
            <w:tcW w:type="dxa" w:w="95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Ontario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103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387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22.6000000004%</w:t>
            </w:r>
          </w:p>
        </w:tc>
        <w:tc>
          <w:tcPr>
            <w:tcW w:type="dxa" w:w="110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22.60%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DF-ONT-043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DSP-8103</w:t>
            </w:r>
          </w:p>
        </w:tc>
        <w:tc>
          <w:tcPr>
            <w:tcW w:type="dxa" w:w="9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Ontario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645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22.6000000004%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22.60%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DF-MI-051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INSP-2404</w:t>
            </w:r>
          </w:p>
        </w:tc>
        <w:tc>
          <w:tcPr>
            <w:tcW w:type="dxa" w:w="93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DSP-8104</w:t>
            </w:r>
          </w:p>
        </w:tc>
        <w:tc>
          <w:tcPr>
            <w:tcW w:type="dxa" w:w="95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Michigan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03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430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18.4000000003%</w:t>
            </w:r>
          </w:p>
        </w:tc>
        <w:tc>
          <w:tcPr>
            <w:tcW w:type="dxa" w:w="110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18.40%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DF-MI-052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DSP-8105</w:t>
            </w:r>
          </w:p>
        </w:tc>
        <w:tc>
          <w:tcPr>
            <w:tcW w:type="dxa" w:w="9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Michigan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602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18.4000000003%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DF-MI-053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INSP-2406</w:t>
            </w:r>
          </w:p>
        </w:tc>
        <w:tc>
          <w:tcPr>
            <w:tcW w:type="dxa" w:w="93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DSP-8106</w:t>
            </w:r>
          </w:p>
        </w:tc>
        <w:tc>
          <w:tcPr>
            <w:tcW w:type="dxa" w:w="95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Michigan</w:t>
            </w:r>
          </w:p>
        </w:tc>
        <w:tc>
          <w:tcPr>
            <w:tcW w:type="dxa" w:w="97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037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344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18.4000000003%</w:t>
            </w:r>
          </w:p>
        </w:tc>
        <w:tc>
          <w:tcPr>
            <w:tcW w:type="dxa" w:w="1109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18.40%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Friday scenario projections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</w:trPr>
        <w:tc>
          <w:tcPr>
            <w:tcW w:type="dxa" w:w="167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Jurisdiction</w:t>
            </w:r>
          </w:p>
        </w:tc>
        <w:tc>
          <w:tcPr>
            <w:tcW w:type="dxa" w:w="96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Supplied cartons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Pieces/ carton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Projected coupling pieces</w:t>
            </w:r>
          </w:p>
        </w:tc>
        <w:tc>
          <w:tcPr>
            <w:tcW w:type="dxa" w:w="10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Raw rate</w:t>
            </w:r>
          </w:p>
        </w:tc>
        <w:tc>
          <w:tcPr>
            <w:tcW w:type="dxa" w:w="10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Normalised rate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Expected exposure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Steady release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Ontario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40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1720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21.2500000002%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21.25%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Above threshold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365.50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Steady release</w:t>
            </w:r>
          </w:p>
        </w:tc>
        <w:tc>
          <w:tcPr>
            <w:tcW w:type="dxa" w:w="100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Michigan</w:t>
            </w:r>
          </w:p>
        </w:tc>
        <w:tc>
          <w:tcPr>
            <w:tcW w:type="dxa" w:w="965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36</w:t>
            </w:r>
          </w:p>
        </w:tc>
        <w:tc>
          <w:tcPr>
            <w:tcW w:type="dxa" w:w="89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1548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17.9000000001%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17.90%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Below threshold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277.09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Steady release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Combined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76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3268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 applicable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642.59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Expedited replenishment</w:t>
            </w:r>
          </w:p>
        </w:tc>
        <w:tc>
          <w:tcPr>
            <w:tcW w:type="dxa" w:w="100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Ontario</w:t>
            </w:r>
          </w:p>
        </w:tc>
        <w:tc>
          <w:tcPr>
            <w:tcW w:type="dxa" w:w="965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52</w:t>
            </w:r>
          </w:p>
        </w:tc>
        <w:tc>
          <w:tcPr>
            <w:tcW w:type="dxa" w:w="89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2236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24.1000000003%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24.10%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Above threshold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538.88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Expedited replenishment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Michigan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48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2064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19.2000000002%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19.20%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Below threshold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396.29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Expedited replenishment</w:t>
            </w:r>
          </w:p>
        </w:tc>
        <w:tc>
          <w:tcPr>
            <w:tcW w:type="dxa" w:w="100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Combined</w:t>
            </w:r>
          </w:p>
        </w:tc>
        <w:tc>
          <w:tcPr>
            <w:tcW w:type="dxa" w:w="965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100</w:t>
            </w:r>
          </w:p>
        </w:tc>
        <w:tc>
          <w:tcPr>
            <w:tcW w:type="dxa" w:w="89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4300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 applicable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935.16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Contained rework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Ontario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28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1204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16.7500000001%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16.75%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Below threshold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201.67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Contained rework</w:t>
            </w:r>
          </w:p>
        </w:tc>
        <w:tc>
          <w:tcPr>
            <w:tcW w:type="dxa" w:w="100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Michigan</w:t>
            </w:r>
          </w:p>
        </w:tc>
        <w:tc>
          <w:tcPr>
            <w:tcW w:type="dxa" w:w="965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24</w:t>
            </w:r>
          </w:p>
        </w:tc>
        <w:tc>
          <w:tcPr>
            <w:tcW w:type="dxa" w:w="89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1032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14.4000000002%</w:t>
            </w:r>
          </w:p>
        </w:tc>
        <w:tc>
          <w:tcPr>
            <w:tcW w:type="dxa" w:w="109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14.40%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Below threshold</w:t>
            </w:r>
          </w:p>
        </w:tc>
        <w:tc>
          <w:tcPr>
            <w:tcW w:type="dxa" w:w="118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148.61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Contained rework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Combined</w:t>
            </w:r>
          </w:p>
        </w:tc>
        <w:tc>
          <w:tcPr>
            <w:tcW w:type="dxa" w:w="9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52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2236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0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 applicable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350.28</w:t>
            </w:r>
          </w:p>
        </w:tc>
      </w:tr>
    </w:tbl>
    <w:p>
      <w:pPr>
        <w:spacing w:after="0" w:before="0"/>
      </w:pPr>
    </w:p>
    <w:p>
      <w:pPr>
        <w:spacing w:after="40"/>
      </w:pPr>
      <w:r>
        <w:t>Each jurisdiction projection uses supplied cartons x 43 pieces/carton, then projected coupling pieces x normalised applicable rate / 100. Combined rows sum Ontario and Michigan expected exposure; they are not assigned a blended rate or threshold status.</w:t>
      </w:r>
    </w:p>
    <w:p>
      <w:pPr>
        <w:pStyle w:val="Heading1"/>
      </w:pPr>
      <w:r>
        <w:t>Before-and-after authorised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cantSplit/>
        </w:trPr>
        <w:tc>
          <w:tcPr>
            <w:tcW w:type="dxa" w:w="161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Authorised area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Before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After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 / calculation basis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Exposure Summary!E4</w:t>
            </w:r>
          </w:p>
        </w:tc>
        <w:tc>
          <w:tcPr>
            <w:tcW w:type="dxa" w:w="19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Dispatched cartons (pending correction)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Accepted-into-service couplings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Inspection accepted cartons x 43 pieces/carton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Exposure Summary!A5</w:t>
            </w:r>
          </w:p>
        </w:tc>
        <w:tc>
          <w:tcPr>
            <w:tcW w:type="dxa" w:w="190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summary uses dispatched cartons and prior residual values pending reconciliation. Source rate is shown as recorded.</w:t>
            </w:r>
          </w:p>
        </w:tc>
        <w:tc>
          <w:tcPr>
            <w:tcW w:type="dxa" w:w="244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Definition, normalisation and precedence note</w:t>
            </w:r>
          </w:p>
        </w:tc>
        <w:tc>
          <w:tcPr>
            <w:tcW w:type="dxa" w:w="3672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Inspection and dispatch records plus memo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Exposure Summary!C9:L11</w:t>
            </w:r>
          </w:p>
        </w:tc>
        <w:tc>
          <w:tcPr>
            <w:tcW w:type="dxa" w:w="19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D9 =SUMIF('Dispatch Source'!E$5:E$12,B9,'Dispatch Source'!F$5:F$12); K9 ='Residual Calc'!D5; same prior dispatch/residual pattern in row 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 = SUMIFS chosen cartons; F = D x E; H = ROUND(G,2); K = F x H / 100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Reconciliation; memo precision; helper excluded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Exposure Summary!E16:K24</w:t>
            </w:r>
          </w:p>
        </w:tc>
        <w:tc>
          <w:tcPr>
            <w:tcW w:type="dxa" w:w="1901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E16 =C16; G16 =ROUND(F16,1); J16 =E16*G16/100; same prior pattern</w:t>
            </w:r>
          </w:p>
        </w:tc>
        <w:tc>
          <w:tcPr>
            <w:tcW w:type="dxa" w:w="244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 = cartons x pieces/carton; G = ROUND(F,2); J = E x G / 100</w:t>
            </w:r>
          </w:p>
        </w:tc>
        <w:tc>
          <w:tcPr>
            <w:tcW w:type="dxa" w:w="3672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Supplied scenario inputs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Exposure Summary!A30:N37</w:t>
            </w:r>
          </w:p>
        </w:tc>
        <w:tc>
          <w:tcPr>
            <w:tcW w:type="dxa" w:w="19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A30 DF-ONT-041; dispatch fields blank; N30 Pending reconciliation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Normalised matched record trail with chosen population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Inspection and dispatch extracts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Owners, actions and unresolved judgement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rPr>
          <w:cantSplit/>
        </w:trPr>
        <w:tc>
          <w:tcPr>
            <w:tcW w:type="dxa" w:w="13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 / role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Existing action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Mara Velez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 Systems - inspection extract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Reconcile the inspection disposition and accepted carton quantities for the Friday run.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Jonas Reed</w:t>
            </w:r>
          </w:p>
        </w:tc>
        <w:tc>
          <w:tcPr>
            <w:tcW w:type="dxa" w:w="237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Distribution Operations - dispatch extract</w:t>
            </w:r>
          </w:p>
        </w:tc>
        <w:tc>
          <w:tcPr>
            <w:tcW w:type="dxa" w:w="5904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 shipment status and destination against the dispatch extract for the Friday run.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Lars Toledano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Production Review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the corrected exposure figures at the Friday production review.</w:t>
            </w:r>
          </w:p>
        </w:tc>
      </w:tr>
    </w:tbl>
    <w:p>
      <w:pPr>
        <w:spacing w:after="0" w:before="0"/>
      </w:pPr>
    </w:p>
    <w:p>
      <w:r>
        <w:rPr>
          <w:b/>
        </w:rPr>
        <w:t xml:space="preserve">Unresolved judgement choices. </w:t>
      </w:r>
      <w:r>
        <w:t>The authority did not prescribe whether exposure should use dispatched or accepted-into-service population; this report selected the latter and disclosed it above. The protected analyst decision / recommendation field remains blank because the authority does not permit an analyst entry. The supplied records do not resolve how the reviewed figures will be acted on.</w:t>
      </w:r>
    </w:p>
    <w:sectPr w:rsidR="00FC693F" w:rsidRPr="0006063C" w:rsidSect="00034616">
      <w:footerReference w:type="default" r:id="rId9"/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>Hawthorne Associates | Dalefield Industries | Friday production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44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