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6324F"/>
        </w:rPr>
        <w:t>Kingsferry Freight</w:t>
        <w:br/>
        <w:t>Rushes QC Guide</w:t>
      </w:r>
    </w:p>
    <w:p>
      <w:pPr>
        <w:pStyle w:val="Subtitle"/>
      </w:pPr>
      <w:r>
        <w:t>Internal operating guide | 34-day shoot | Ashgrove Manufacturing + Netherfield Provisions</w:t>
      </w:r>
    </w:p>
    <w:p>
      <w:pPr>
        <w:pStyle w:val="Heading1"/>
      </w:pPr>
      <w:r>
        <w:t>Purpose and audience</w:t>
      </w:r>
    </w:p>
    <w:p>
      <w:r>
        <w:t>This package gives Yolanda Schuyler a repeatable DIT-cart workflow for nightly rush review and gives Beatriz Ilechukwu a production decision boundary she can approve. It is for the production lead, DIT operator, camera/audio stakeholders, and cross-functional reviewers.</w:t>
      </w:r>
    </w:p>
    <w:p>
      <w:pPr>
        <w:pStyle w:val="Heading1"/>
      </w:pPr>
      <w:r>
        <w:t>Scope and source basis</w:t>
      </w:r>
    </w:p>
    <w:p>
      <w:r>
        <w:t>The scope is the 34-day Kingsferry Freight shoot, with nightly rushes from KFR-A, KFR-B, and KFR-C. The two depots are Ashgrove Manufacturing (United Kingdom, Days 1–17) and Netherfield Provisions (Netherlands, Days 18–34). The source references define supported fields and units: exposure index/waveform note, focus distance/sharpness note, and integrated loudness floor in LUFS compared with an approved floor. The schedule labels are production context only, not legal advice.</w:t>
      </w:r>
    </w:p>
    <w:p>
      <w:pPr>
        <w:pStyle w:val="Heading1"/>
      </w:pPr>
      <w:r>
        <w:t>Controlled vocabulary</w:t>
      </w:r>
    </w:p>
    <w:p>
      <w:r>
        <w:t>SHOOT-STOP: A finding that requires the next day's shoot to stop pending production direction.</w:t>
      </w:r>
    </w:p>
    <w:p>
      <w:r>
        <w:t>WATCH-AND-LOG: A finding recorded with evidence and monitored without stopping the next day's shoot.</w:t>
      </w:r>
    </w:p>
    <w:p>
      <w:r>
        <w:t>UNRESOLVED: A finding that cannot yet be classified because evidence, comparison, or approval is incomplete.</w:t>
      </w:r>
    </w:p>
    <w:p>
      <w:r>
        <w:t>EVIDENCE REQUIRED: Use when the observation needs a linked rush, file, frame, waveform, or other review reference.</w:t>
      </w:r>
    </w:p>
    <w:p>
      <w:r>
        <w:t>APPROVAL REQUIRED: Use in the approval boundary when a proposed threshold or outcome awaits production approval.</w:t>
      </w:r>
    </w:p>
    <w:p>
      <w:pPr>
        <w:pStyle w:val="Heading1"/>
      </w:pPr>
      <w:r>
        <w:t>Blank-state and approval boundary</w:t>
      </w:r>
    </w:p>
    <w:p>
      <w:r>
        <w:t>The Threshold Instrument is intentionally blank. Every pending completion cell is marked “TO BE COMPLETED — DO NOT USE”. That marker is not a threshold, result, or example. No threshold is approved until the responsible stakeholders complete the relevant fields and Beatriz Ilechukwu records the approval status. The guide and deck describe the framework; the workbook is the single completion authority.</w:t>
      </w:r>
    </w:p>
    <w:p>
      <w:pPr>
        <w:pStyle w:val="Heading1"/>
      </w:pPr>
      <w:r>
        <w:t>Threshold domains</w:t>
      </w:r>
    </w:p>
    <w:p>
      <w:r>
        <w:t>Complete one rule row for each domain: Exposure; Focus; Audio floor; Sensor/camera drift; and Depot/camera comparison. Preserve the source basis in the Unit or comparison basis column. Do not convert a comparison into a unitless number. The outcome dropdown is limited to SHOOT-STOP, WATCH-AND-LOG, and UNRESOLVED.</w:t>
      </w:r>
    </w:p>
    <w:p>
      <w:pPr>
        <w:pStyle w:val="Heading1"/>
      </w:pPr>
      <w:r>
        <w:t>Evidence expectations</w:t>
      </w:r>
    </w:p>
    <w:p>
      <w:r>
        <w:t>For each observation, record the rush identifier and an evidence reference. The evidence reference may point to a file, frame, waveform, or comparison note once it exists; do not invent a reference in advance. Use the Evidence Index to pair Evidence reference with Rush identifier, File or frame reference, Domain, Captured by, Capture date, Review status, and Notes.</w:t>
      </w:r>
    </w:p>
    <w:p>
      <w:pPr>
        <w:pStyle w:val="Heading1"/>
      </w:pPr>
      <w:r>
        <w:t>Ownership and escalation</w:t>
      </w:r>
    </w:p>
    <w:p>
      <w:r>
        <w:t>Yolanda Schuyler records the technical observation, measured value, unit, comparison basis, evidence reference, and review status. She escalates according to the approved rule. Beatriz Ilechukwu owns the production decision, threshold approval, and any SHOOT-STOP direction. The controlled escalation statuses are OPEN, WATCHING, ESCALATED, and CLOSED in the nightly log.</w:t>
      </w:r>
    </w:p>
    <w:p>
      <w:pPr>
        <w:pStyle w:val="Heading1"/>
      </w:pPr>
      <w:r>
        <w:t>How the files relate</w:t>
      </w:r>
    </w:p>
    <w:p>
      <w:r>
        <w:t>Use the workbook beside the DIT cart: Threshold Instrument for the approved rule, Nightly Review Log for each rush observation, and Evidence Index for traceability. Use this guide to interpret scope, labels, blank-state boundaries, and ownership. Use the PDF deck for the cross-functional review conversation and approval handoff. The deck points back to the workbook instead of duplicating a threshold table.</w:t>
      </w:r>
    </w:p>
    <w:p>
      <w:pPr>
        <w:pStyle w:val="IntenseQuote"/>
      </w:pPr>
      <w:r>
        <w:t>Before the first call: review the source basis, complete the pending rule cells with the responsible stakeholders, set Approval status, and confirm that the resulting decision is visible to the DIT operator. Until then, treat every threshold and approval field as pending.</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Kingsferry Rushes QC Guide</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