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Malpractice Renewal Review Notes</w:t>
      </w:r>
    </w:p>
    <w:p>
      <w:r>
        <w:t>Prepared for Idris Vantol, Practice Manager, and external malpractice counsel. The review covers fourteen months of enterprise nurse-practitioner encounters and asks whether recorded procedures were within dated granted privileges and whether required supervision is evidenced.</w:t>
      </w:r>
    </w:p>
    <w:p>
      <w:pPr>
        <w:pStyle w:val="Heading1"/>
      </w:pPr>
      <w:r>
        <w:t>Comparison periods</w:t>
      </w:r>
    </w:p>
    <w:p>
      <w:r>
        <w:t>Period 1: 2024-01-01 through 2024-07-31. Period 2: 2024-08-01 through 2025-02-28. Compare the earlier and later portions for material operational change.</w:t>
      </w:r>
    </w:p>
    <w:p>
      <w:r>
        <w:t>Counsel requested a narrow, auditable list of genuine scope or oversight exceptions. A privilege expansion occurs near the Period 1/Period 2 boundary; review the encounter on the effective-date boundary carefully. These notes do not resolve the boundary treatment or the zero-denominator supervision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