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Cyber Insurance Budget Compliance Assessment</w:t>
      </w:r>
    </w:p>
    <w:p>
      <w:pPr>
        <w:spacing w:after="140"/>
      </w:pPr>
      <w:r>
        <w:rPr>
          <w:i/>
          <w:color w:val="5B6573"/>
        </w:rPr>
        <w:t>Redcliffe Manufacturing plc | Prepared for Sandpiper Advisory | 6 October 2028</w:t>
      </w:r>
    </w:p>
    <w:p>
      <w:pPr>
        <w:pStyle w:val="Heading1"/>
      </w:pPr>
      <w:r>
        <w:t>Executive Recommendation</w:t>
      </w:r>
    </w:p>
    <w:p>
      <w:r>
        <w:t>Approve the Sandpiper Managed Premium Facility. The corrected United Kingdom insurance budget is £261,568.00, comprising £236,950.00 of accepted premiums and £24,618.00 of applicable United Kingdom charges. The recommended route adds a £6,250.00 funding fee, for a resulting United Kingdom cost of £267,818.00.</w:t>
      </w:r>
    </w:p>
    <w:p>
      <w:r>
        <w:t>It is the lowest-cost supplied route that meets every condition in the funding brief: £300,000.00 capacity against the £261,568.00 corrected budget before fee, availability by 30 September 2028, no coverage change and a £20,000.00 ring-fenced contingency reserve.</w:t>
      </w:r>
    </w:p>
    <w:p>
      <w:pPr>
        <w:pStyle w:val="Heading1"/>
      </w:pPr>
      <w:r>
        <w:t>Scope and Evidence</w:t>
      </w:r>
    </w:p>
    <w:p>
      <w:r>
        <w:t>This is a United Kingdom-only review of policy costs applicable on 30 September 2028. The conclusion is based on the supplied draft budget register, United Kingdom policy basis, frozen rate card, executed coverage schedule and Sandpiper Advisory funding brief. The supplied policy basis requires a supported conclusion on scope, normalised business-key reconciliation, evidence precedence and dates, notes-based exceptions, rate-card charges and funding conditions.</w:t>
      </w:r>
    </w:p>
    <w:p>
      <w:r>
        <w:t>The executed schedule and approved endorsements were treated as the highest-precedence evidence, followed by the frozen rate card and then the draft workbook. The draft Retired Helper Calc was non-authoritative and was not used in any accepted figure.</w:t>
      </w:r>
    </w:p>
    <w:p>
      <w:pPr>
        <w:pStyle w:val="Heading1"/>
      </w:pPr>
      <w:r>
        <w:t>Reconciliation</w:t>
      </w:r>
    </w:p>
    <w:p>
      <w:r>
        <w:t>The business key used was entity identifier after trimming surrounding whitespace and matching case-insensitively, plus coverage layer, policy year and resolved transaction date. Five schedule-backed United Kingdom coverage lines were accepted. RM-UK-01 L1 and L2 both fall on 30 September 2028 but were retained as separate premiums because the layers differ. TR-1004 was removed because it matches TR-1003 on the full normalised key.</w:t>
      </w:r>
    </w:p>
    <w:p>
      <w:r>
        <w:t>Unambiguous dates were carried to calendar dates. The ambiguous draft value 09/10/2028 for TR-1003 was resolved as 10 September 2028 only because the executed RM-UK-02 L1 schedule line is uniquely dated 10 September 2028. EN-14 changes the RM-UK-01 L1 premium to £86,500.00; that approved exception overrides the main draft premium only. Standard charges were calculated at 12.00% of accepted premium. Rider CH-3 makes the RM-UK-03 L1 charge not applicable, so that charge field remains blank.</w:t>
      </w:r>
    </w:p>
    <w:tbl>
      <w:tblPr>
        <w:tblStyle w:val="TableGrid"/>
        <w:tblW w:type="auto" w:w="0"/>
        <w:tblLayout w:type="fixed"/>
        <w:tblLook w:firstColumn="1" w:firstRow="1" w:lastColumn="0" w:lastRow="0" w:noHBand="0" w:noVBand="1" w:val="04A0"/>
      </w:tblPr>
      <w:tblGrid>
        <w:gridCol w:w="2062"/>
        <w:gridCol w:w="2062"/>
        <w:gridCol w:w="2062"/>
        <w:gridCol w:w="2062"/>
        <w:gridCol w:w="2062"/>
      </w:tblGrid>
      <w:tr>
        <w:tc>
          <w:tcPr>
            <w:tcW w:type="dxa" w:w="2016"/>
            <w:shd w:fill="1F4E78"/>
            <w:vAlign w:val="top"/>
          </w:tcPr>
          <w:p>
            <w:pPr>
              <w:jc w:val="left"/>
            </w:pPr>
            <w:r/>
            <w:r>
              <w:rPr>
                <w:rFonts w:ascii="Aptos" w:hAnsi="Aptos"/>
                <w:b/>
                <w:color w:val="FFFFFF"/>
                <w:sz w:val="15"/>
              </w:rPr>
              <w:t>Accepted line</w:t>
            </w:r>
          </w:p>
        </w:tc>
        <w:tc>
          <w:tcPr>
            <w:tcW w:type="dxa" w:w="1440"/>
            <w:shd w:fill="1F4E78"/>
            <w:vAlign w:val="top"/>
          </w:tcPr>
          <w:p>
            <w:pPr>
              <w:jc w:val="left"/>
            </w:pPr>
            <w:r/>
            <w:r>
              <w:rPr>
                <w:rFonts w:ascii="Aptos" w:hAnsi="Aptos"/>
                <w:b/>
                <w:color w:val="FFFFFF"/>
                <w:sz w:val="15"/>
              </w:rPr>
              <w:t>Resolved date</w:t>
            </w:r>
          </w:p>
        </w:tc>
        <w:tc>
          <w:tcPr>
            <w:tcW w:type="dxa" w:w="1440"/>
            <w:shd w:fill="1F4E78"/>
            <w:vAlign w:val="top"/>
          </w:tcPr>
          <w:p>
            <w:pPr>
              <w:jc w:val="left"/>
            </w:pPr>
            <w:r/>
            <w:r>
              <w:rPr>
                <w:rFonts w:ascii="Aptos" w:hAnsi="Aptos"/>
                <w:b/>
                <w:color w:val="FFFFFF"/>
                <w:sz w:val="15"/>
              </w:rPr>
              <w:t>Premium</w:t>
            </w:r>
          </w:p>
        </w:tc>
        <w:tc>
          <w:tcPr>
            <w:tcW w:type="dxa" w:w="1584"/>
            <w:shd w:fill="1F4E78"/>
            <w:vAlign w:val="top"/>
          </w:tcPr>
          <w:p>
            <w:pPr>
              <w:jc w:val="left"/>
            </w:pPr>
            <w:r/>
            <w:r>
              <w:rPr>
                <w:rFonts w:ascii="Aptos" w:hAnsi="Aptos"/>
                <w:b/>
                <w:color w:val="FFFFFF"/>
                <w:sz w:val="15"/>
              </w:rPr>
              <w:t>UK charge</w:t>
            </w:r>
          </w:p>
        </w:tc>
        <w:tc>
          <w:tcPr>
            <w:tcW w:type="dxa" w:w="1584"/>
            <w:shd w:fill="1F4E78"/>
            <w:vAlign w:val="top"/>
          </w:tcPr>
          <w:p>
            <w:pPr>
              <w:jc w:val="left"/>
            </w:pPr>
            <w:r/>
            <w:r>
              <w:rPr>
                <w:rFonts w:ascii="Aptos" w:hAnsi="Aptos"/>
                <w:b/>
                <w:color w:val="FFFFFF"/>
                <w:sz w:val="15"/>
              </w:rPr>
              <w:t>Line amount</w:t>
            </w:r>
          </w:p>
        </w:tc>
      </w:tr>
      <w:tr>
        <w:tc>
          <w:tcPr>
            <w:tcW w:type="dxa" w:w="2016"/>
            <w:vAlign w:val="top"/>
          </w:tcPr>
          <w:p>
            <w:pPr>
              <w:jc w:val="left"/>
            </w:pPr>
            <w:r/>
            <w:r>
              <w:rPr>
                <w:rFonts w:ascii="Aptos" w:hAnsi="Aptos"/>
                <w:b w:val="0"/>
                <w:sz w:val="15"/>
              </w:rPr>
              <w:t>RM-UK-01 L1</w:t>
            </w:r>
          </w:p>
        </w:tc>
        <w:tc>
          <w:tcPr>
            <w:tcW w:type="dxa" w:w="1440"/>
            <w:vAlign w:val="top"/>
          </w:tcPr>
          <w:p>
            <w:pPr>
              <w:jc w:val="left"/>
            </w:pPr>
            <w:r/>
            <w:r>
              <w:rPr>
                <w:rFonts w:ascii="Aptos" w:hAnsi="Aptos"/>
                <w:b w:val="0"/>
                <w:sz w:val="15"/>
              </w:rPr>
              <w:t>30 Sep 2028</w:t>
            </w:r>
          </w:p>
        </w:tc>
        <w:tc>
          <w:tcPr>
            <w:tcW w:type="dxa" w:w="1440"/>
            <w:vAlign w:val="top"/>
          </w:tcPr>
          <w:p>
            <w:pPr>
              <w:jc w:val="left"/>
            </w:pPr>
            <w:r/>
            <w:r>
              <w:rPr>
                <w:rFonts w:ascii="Aptos" w:hAnsi="Aptos"/>
                <w:b w:val="0"/>
                <w:sz w:val="15"/>
              </w:rPr>
              <w:t>£86,500.00</w:t>
            </w:r>
          </w:p>
        </w:tc>
        <w:tc>
          <w:tcPr>
            <w:tcW w:type="dxa" w:w="1584"/>
            <w:vAlign w:val="top"/>
          </w:tcPr>
          <w:p>
            <w:pPr>
              <w:jc w:val="left"/>
            </w:pPr>
            <w:r/>
            <w:r>
              <w:rPr>
                <w:rFonts w:ascii="Aptos" w:hAnsi="Aptos"/>
                <w:b w:val="0"/>
                <w:sz w:val="15"/>
              </w:rPr>
              <w:t>£10,380.00</w:t>
            </w:r>
          </w:p>
        </w:tc>
        <w:tc>
          <w:tcPr>
            <w:tcW w:type="dxa" w:w="1584"/>
            <w:vAlign w:val="top"/>
          </w:tcPr>
          <w:p>
            <w:pPr>
              <w:jc w:val="left"/>
            </w:pPr>
            <w:r/>
            <w:r>
              <w:rPr>
                <w:rFonts w:ascii="Aptos" w:hAnsi="Aptos"/>
                <w:b w:val="0"/>
                <w:sz w:val="15"/>
              </w:rPr>
              <w:t>£96,880.00</w:t>
            </w:r>
          </w:p>
        </w:tc>
      </w:tr>
      <w:tr>
        <w:tc>
          <w:tcPr>
            <w:tcW w:type="dxa" w:w="2016"/>
            <w:vAlign w:val="top"/>
          </w:tcPr>
          <w:p>
            <w:pPr>
              <w:jc w:val="left"/>
            </w:pPr>
            <w:r/>
            <w:r>
              <w:rPr>
                <w:rFonts w:ascii="Aptos" w:hAnsi="Aptos"/>
                <w:b w:val="0"/>
                <w:sz w:val="15"/>
              </w:rPr>
              <w:t>RM-UK-01 L2</w:t>
            </w:r>
          </w:p>
        </w:tc>
        <w:tc>
          <w:tcPr>
            <w:tcW w:type="dxa" w:w="1440"/>
            <w:vAlign w:val="top"/>
          </w:tcPr>
          <w:p>
            <w:pPr>
              <w:jc w:val="left"/>
            </w:pPr>
            <w:r/>
            <w:r>
              <w:rPr>
                <w:rFonts w:ascii="Aptos" w:hAnsi="Aptos"/>
                <w:b w:val="0"/>
                <w:sz w:val="15"/>
              </w:rPr>
              <w:t>30 Sep 2028</w:t>
            </w:r>
          </w:p>
        </w:tc>
        <w:tc>
          <w:tcPr>
            <w:tcW w:type="dxa" w:w="1440"/>
            <w:vAlign w:val="top"/>
          </w:tcPr>
          <w:p>
            <w:pPr>
              <w:jc w:val="left"/>
            </w:pPr>
            <w:r/>
            <w:r>
              <w:rPr>
                <w:rFonts w:ascii="Aptos" w:hAnsi="Aptos"/>
                <w:b w:val="0"/>
                <w:sz w:val="15"/>
              </w:rPr>
              <w:t>£52,500.00</w:t>
            </w:r>
          </w:p>
        </w:tc>
        <w:tc>
          <w:tcPr>
            <w:tcW w:type="dxa" w:w="1584"/>
            <w:vAlign w:val="top"/>
          </w:tcPr>
          <w:p>
            <w:pPr>
              <w:jc w:val="left"/>
            </w:pPr>
            <w:r/>
            <w:r>
              <w:rPr>
                <w:rFonts w:ascii="Aptos" w:hAnsi="Aptos"/>
                <w:b w:val="0"/>
                <w:sz w:val="15"/>
              </w:rPr>
              <w:t>£6,300.00</w:t>
            </w:r>
          </w:p>
        </w:tc>
        <w:tc>
          <w:tcPr>
            <w:tcW w:type="dxa" w:w="1584"/>
            <w:vAlign w:val="top"/>
          </w:tcPr>
          <w:p>
            <w:pPr>
              <w:jc w:val="left"/>
            </w:pPr>
            <w:r/>
            <w:r>
              <w:rPr>
                <w:rFonts w:ascii="Aptos" w:hAnsi="Aptos"/>
                <w:b w:val="0"/>
                <w:sz w:val="15"/>
              </w:rPr>
              <w:t>£58,800.00</w:t>
            </w:r>
          </w:p>
        </w:tc>
      </w:tr>
      <w:tr>
        <w:tc>
          <w:tcPr>
            <w:tcW w:type="dxa" w:w="2016"/>
            <w:vAlign w:val="top"/>
          </w:tcPr>
          <w:p>
            <w:pPr>
              <w:jc w:val="left"/>
            </w:pPr>
            <w:r/>
            <w:r>
              <w:rPr>
                <w:rFonts w:ascii="Aptos" w:hAnsi="Aptos"/>
                <w:b w:val="0"/>
                <w:sz w:val="15"/>
              </w:rPr>
              <w:t>RM-UK-02 L1</w:t>
            </w:r>
          </w:p>
        </w:tc>
        <w:tc>
          <w:tcPr>
            <w:tcW w:type="dxa" w:w="1440"/>
            <w:vAlign w:val="top"/>
          </w:tcPr>
          <w:p>
            <w:pPr>
              <w:jc w:val="left"/>
            </w:pPr>
            <w:r/>
            <w:r>
              <w:rPr>
                <w:rFonts w:ascii="Aptos" w:hAnsi="Aptos"/>
                <w:b w:val="0"/>
                <w:sz w:val="15"/>
              </w:rPr>
              <w:t>10 Sep 2028</w:t>
            </w:r>
          </w:p>
        </w:tc>
        <w:tc>
          <w:tcPr>
            <w:tcW w:type="dxa" w:w="1440"/>
            <w:vAlign w:val="top"/>
          </w:tcPr>
          <w:p>
            <w:pPr>
              <w:jc w:val="left"/>
            </w:pPr>
            <w:r/>
            <w:r>
              <w:rPr>
                <w:rFonts w:ascii="Aptos" w:hAnsi="Aptos"/>
                <w:b w:val="0"/>
                <w:sz w:val="15"/>
              </w:rPr>
              <w:t>£41,250.00</w:t>
            </w:r>
          </w:p>
        </w:tc>
        <w:tc>
          <w:tcPr>
            <w:tcW w:type="dxa" w:w="1584"/>
            <w:vAlign w:val="top"/>
          </w:tcPr>
          <w:p>
            <w:pPr>
              <w:jc w:val="left"/>
            </w:pPr>
            <w:r/>
            <w:r>
              <w:rPr>
                <w:rFonts w:ascii="Aptos" w:hAnsi="Aptos"/>
                <w:b w:val="0"/>
                <w:sz w:val="15"/>
              </w:rPr>
              <w:t>£4,950.00</w:t>
            </w:r>
          </w:p>
        </w:tc>
        <w:tc>
          <w:tcPr>
            <w:tcW w:type="dxa" w:w="1584"/>
            <w:vAlign w:val="top"/>
          </w:tcPr>
          <w:p>
            <w:pPr>
              <w:jc w:val="left"/>
            </w:pPr>
            <w:r/>
            <w:r>
              <w:rPr>
                <w:rFonts w:ascii="Aptos" w:hAnsi="Aptos"/>
                <w:b w:val="0"/>
                <w:sz w:val="15"/>
              </w:rPr>
              <w:t>£46,200.00</w:t>
            </w:r>
          </w:p>
        </w:tc>
      </w:tr>
      <w:tr>
        <w:tc>
          <w:tcPr>
            <w:tcW w:type="dxa" w:w="2016"/>
            <w:vAlign w:val="top"/>
          </w:tcPr>
          <w:p>
            <w:pPr>
              <w:jc w:val="left"/>
            </w:pPr>
            <w:r/>
            <w:r>
              <w:rPr>
                <w:rFonts w:ascii="Aptos" w:hAnsi="Aptos"/>
                <w:b w:val="0"/>
                <w:sz w:val="15"/>
              </w:rPr>
              <w:t>RM-UK-03 L1</w:t>
            </w:r>
          </w:p>
        </w:tc>
        <w:tc>
          <w:tcPr>
            <w:tcW w:type="dxa" w:w="1440"/>
            <w:vAlign w:val="top"/>
          </w:tcPr>
          <w:p>
            <w:pPr>
              <w:jc w:val="left"/>
            </w:pPr>
            <w:r/>
            <w:r>
              <w:rPr>
                <w:rFonts w:ascii="Aptos" w:hAnsi="Aptos"/>
                <w:b w:val="0"/>
                <w:sz w:val="15"/>
              </w:rPr>
              <w:t>30 Sep 2028</w:t>
            </w:r>
          </w:p>
        </w:tc>
        <w:tc>
          <w:tcPr>
            <w:tcW w:type="dxa" w:w="1440"/>
            <w:vAlign w:val="top"/>
          </w:tcPr>
          <w:p>
            <w:pPr>
              <w:jc w:val="left"/>
            </w:pPr>
            <w:r/>
            <w:r>
              <w:rPr>
                <w:rFonts w:ascii="Aptos" w:hAnsi="Aptos"/>
                <w:b w:val="0"/>
                <w:sz w:val="15"/>
              </w:rPr>
              <w:t>£31,800.00</w:t>
            </w:r>
          </w:p>
        </w:tc>
        <w:tc>
          <w:tcPr>
            <w:tcW w:type="dxa" w:w="1584"/>
            <w:vAlign w:val="top"/>
          </w:tcPr>
          <w:p>
            <w:pPr>
              <w:jc w:val="left"/>
            </w:pPr>
            <w:r/>
            <w:r>
              <w:rPr>
                <w:rFonts w:ascii="Aptos" w:hAnsi="Aptos"/>
                <w:b w:val="0"/>
                <w:sz w:val="15"/>
              </w:rPr>
              <w:t>Blank - Rider CH-3</w:t>
            </w:r>
          </w:p>
        </w:tc>
        <w:tc>
          <w:tcPr>
            <w:tcW w:type="dxa" w:w="1584"/>
            <w:vAlign w:val="top"/>
          </w:tcPr>
          <w:p>
            <w:pPr>
              <w:jc w:val="left"/>
            </w:pPr>
            <w:r/>
            <w:r>
              <w:rPr>
                <w:rFonts w:ascii="Aptos" w:hAnsi="Aptos"/>
                <w:b w:val="0"/>
                <w:sz w:val="15"/>
              </w:rPr>
              <w:t>£31,800.00</w:t>
            </w:r>
          </w:p>
        </w:tc>
      </w:tr>
      <w:tr>
        <w:tc>
          <w:tcPr>
            <w:tcW w:type="dxa" w:w="2016"/>
            <w:vAlign w:val="top"/>
          </w:tcPr>
          <w:p>
            <w:pPr>
              <w:jc w:val="left"/>
            </w:pPr>
            <w:r/>
            <w:r>
              <w:rPr>
                <w:rFonts w:ascii="Aptos" w:hAnsi="Aptos"/>
                <w:b w:val="0"/>
                <w:sz w:val="15"/>
              </w:rPr>
              <w:t>RM-UK-04 L3</w:t>
            </w:r>
          </w:p>
        </w:tc>
        <w:tc>
          <w:tcPr>
            <w:tcW w:type="dxa" w:w="1440"/>
            <w:vAlign w:val="top"/>
          </w:tcPr>
          <w:p>
            <w:pPr>
              <w:jc w:val="left"/>
            </w:pPr>
            <w:r/>
            <w:r>
              <w:rPr>
                <w:rFonts w:ascii="Aptos" w:hAnsi="Aptos"/>
                <w:b w:val="0"/>
                <w:sz w:val="15"/>
              </w:rPr>
              <w:t>30 Sep 2028</w:t>
            </w:r>
          </w:p>
        </w:tc>
        <w:tc>
          <w:tcPr>
            <w:tcW w:type="dxa" w:w="1440"/>
            <w:vAlign w:val="top"/>
          </w:tcPr>
          <w:p>
            <w:pPr>
              <w:jc w:val="left"/>
            </w:pPr>
            <w:r/>
            <w:r>
              <w:rPr>
                <w:rFonts w:ascii="Aptos" w:hAnsi="Aptos"/>
                <w:b w:val="0"/>
                <w:sz w:val="15"/>
              </w:rPr>
              <w:t>£24,900.00</w:t>
            </w:r>
          </w:p>
        </w:tc>
        <w:tc>
          <w:tcPr>
            <w:tcW w:type="dxa" w:w="1584"/>
            <w:vAlign w:val="top"/>
          </w:tcPr>
          <w:p>
            <w:pPr>
              <w:jc w:val="left"/>
            </w:pPr>
            <w:r/>
            <w:r>
              <w:rPr>
                <w:rFonts w:ascii="Aptos" w:hAnsi="Aptos"/>
                <w:b w:val="0"/>
                <w:sz w:val="15"/>
              </w:rPr>
              <w:t>£2,988.00</w:t>
            </w:r>
          </w:p>
        </w:tc>
        <w:tc>
          <w:tcPr>
            <w:tcW w:type="dxa" w:w="1584"/>
            <w:vAlign w:val="top"/>
          </w:tcPr>
          <w:p>
            <w:pPr>
              <w:jc w:val="left"/>
            </w:pPr>
            <w:r/>
            <w:r>
              <w:rPr>
                <w:rFonts w:ascii="Aptos" w:hAnsi="Aptos"/>
                <w:b w:val="0"/>
                <w:sz w:val="15"/>
              </w:rPr>
              <w:t>£27,888.00</w:t>
            </w:r>
          </w:p>
        </w:tc>
      </w:tr>
    </w:tbl>
    <w:p>
      <w:pPr>
        <w:pStyle w:val="Heading1"/>
      </w:pPr>
      <w:r>
        <w:t>Quality Issues</w:t>
      </w:r>
    </w:p>
    <w:p>
      <w:r>
        <w:t>The draft contains mixed date and time representations, including the ambiguous slash-form date; entity identifiers with case and whitespace differences; and a same-key duplicate import. These were resolved using the policy business-key rules and the executed schedule. The log also records the two legitimate layers sharing a date, so they are not mistaken for duplicates.</w:t>
      </w:r>
    </w:p>
    <w:p>
      <w:r>
        <w:t>The Notes field contained three approved dispositions. EN-14 corrects the TR-1001 premium; Rider CH-3 requires a blank charge on TR-1005; and EN-19 cancels TR-1007, which is excluded from all United Kingdom totals. The United States row TR-1008 is outside scope. The Retired Helper Calc is stale and excluded. Each correction and exclusion is supported by a supplied record; no unsupported estimate was used.</w:t>
      </w:r>
    </w:p>
    <w:p>
      <w:r>
        <w:br w:type="page"/>
      </w:r>
    </w:p>
    <w:p>
      <w:pPr>
        <w:pStyle w:val="Heading1"/>
      </w:pPr>
      <w:r>
        <w:t>Funding Options</w:t>
      </w:r>
    </w:p>
    <w:tbl>
      <w:tblPr>
        <w:tblStyle w:val="TableGrid"/>
        <w:tblW w:type="auto" w:w="0"/>
        <w:tblLayout w:type="fixed"/>
        <w:tblLook w:firstColumn="1" w:firstRow="1" w:lastColumn="0" w:lastRow="0" w:noHBand="0" w:noVBand="1" w:val="04A0"/>
      </w:tblPr>
      <w:tblGrid>
        <w:gridCol w:w="1718"/>
        <w:gridCol w:w="1718"/>
        <w:gridCol w:w="1718"/>
        <w:gridCol w:w="1718"/>
        <w:gridCol w:w="1718"/>
        <w:gridCol w:w="1718"/>
      </w:tblGrid>
      <w:tr>
        <w:tc>
          <w:tcPr>
            <w:tcW w:type="dxa" w:w="2275"/>
            <w:shd w:fill="1F4E78"/>
            <w:vAlign w:val="top"/>
          </w:tcPr>
          <w:p>
            <w:pPr>
              <w:jc w:val="left"/>
            </w:pPr>
            <w:r/>
            <w:r>
              <w:rPr>
                <w:rFonts w:ascii="Aptos" w:hAnsi="Aptos"/>
                <w:b/>
                <w:color w:val="FFFFFF"/>
                <w:sz w:val="15"/>
              </w:rPr>
              <w:t>Option</w:t>
            </w:r>
          </w:p>
        </w:tc>
        <w:tc>
          <w:tcPr>
            <w:tcW w:type="dxa" w:w="1526"/>
            <w:shd w:fill="1F4E78"/>
            <w:vAlign w:val="top"/>
          </w:tcPr>
          <w:p>
            <w:pPr>
              <w:jc w:val="left"/>
            </w:pPr>
            <w:r/>
            <w:r>
              <w:rPr>
                <w:rFonts w:ascii="Aptos" w:hAnsi="Aptos"/>
                <w:b/>
                <w:color w:val="FFFFFF"/>
                <w:sz w:val="15"/>
              </w:rPr>
              <w:t>Resulting UK cost</w:t>
            </w:r>
          </w:p>
        </w:tc>
        <w:tc>
          <w:tcPr>
            <w:tcW w:type="dxa" w:w="1483"/>
            <w:shd w:fill="1F4E78"/>
            <w:vAlign w:val="top"/>
          </w:tcPr>
          <w:p>
            <w:pPr>
              <w:jc w:val="left"/>
            </w:pPr>
            <w:r/>
            <w:r>
              <w:rPr>
                <w:rFonts w:ascii="Aptos" w:hAnsi="Aptos"/>
                <w:b/>
                <w:color w:val="FFFFFF"/>
                <w:sz w:val="15"/>
              </w:rPr>
              <w:t>Incremental cost</w:t>
            </w:r>
          </w:p>
        </w:tc>
        <w:tc>
          <w:tcPr>
            <w:tcW w:type="dxa" w:w="1440"/>
            <w:shd w:fill="1F4E78"/>
            <w:vAlign w:val="top"/>
          </w:tcPr>
          <w:p>
            <w:pPr>
              <w:jc w:val="left"/>
            </w:pPr>
            <w:r/>
            <w:r>
              <w:rPr>
                <w:rFonts w:ascii="Aptos" w:hAnsi="Aptos"/>
                <w:b/>
                <w:color w:val="FFFFFF"/>
                <w:sz w:val="15"/>
              </w:rPr>
              <w:t>Capacity</w:t>
            </w:r>
          </w:p>
        </w:tc>
        <w:tc>
          <w:tcPr>
            <w:tcW w:type="dxa" w:w="1325"/>
            <w:shd w:fill="1F4E78"/>
            <w:vAlign w:val="top"/>
          </w:tcPr>
          <w:p>
            <w:pPr>
              <w:jc w:val="left"/>
            </w:pPr>
            <w:r/>
            <w:r>
              <w:rPr>
                <w:rFonts w:ascii="Aptos" w:hAnsi="Aptos"/>
                <w:b/>
                <w:color w:val="FFFFFF"/>
                <w:sz w:val="15"/>
              </w:rPr>
              <w:t>Reserve</w:t>
            </w:r>
          </w:p>
        </w:tc>
        <w:tc>
          <w:tcPr>
            <w:tcW w:type="dxa" w:w="1613"/>
            <w:shd w:fill="1F4E78"/>
            <w:vAlign w:val="top"/>
          </w:tcPr>
          <w:p>
            <w:pPr>
              <w:jc w:val="left"/>
            </w:pPr>
            <w:r/>
            <w:r>
              <w:rPr>
                <w:rFonts w:ascii="Aptos" w:hAnsi="Aptos"/>
                <w:b/>
                <w:color w:val="FFFFFF"/>
                <w:sz w:val="15"/>
              </w:rPr>
              <w:t>Status</w:t>
            </w:r>
          </w:p>
        </w:tc>
      </w:tr>
      <w:tr>
        <w:tc>
          <w:tcPr>
            <w:tcW w:type="dxa" w:w="2275"/>
            <w:vAlign w:val="top"/>
          </w:tcPr>
          <w:p>
            <w:pPr>
              <w:jc w:val="left"/>
            </w:pPr>
            <w:r/>
            <w:r>
              <w:rPr>
                <w:rFonts w:ascii="Aptos" w:hAnsi="Aptos"/>
                <w:b w:val="0"/>
                <w:sz w:val="15"/>
              </w:rPr>
              <w:t>Treasury Cash Release</w:t>
            </w:r>
          </w:p>
        </w:tc>
        <w:tc>
          <w:tcPr>
            <w:tcW w:type="dxa" w:w="1526"/>
            <w:vAlign w:val="top"/>
          </w:tcPr>
          <w:p>
            <w:pPr>
              <w:jc w:val="left"/>
            </w:pPr>
            <w:r/>
            <w:r>
              <w:rPr>
                <w:rFonts w:ascii="Aptos" w:hAnsi="Aptos"/>
                <w:b w:val="0"/>
                <w:sz w:val="15"/>
              </w:rPr>
              <w:t>£261,568.00</w:t>
            </w:r>
          </w:p>
        </w:tc>
        <w:tc>
          <w:tcPr>
            <w:tcW w:type="dxa" w:w="1483"/>
            <w:vAlign w:val="top"/>
          </w:tcPr>
          <w:p>
            <w:pPr>
              <w:jc w:val="left"/>
            </w:pPr>
            <w:r/>
            <w:r>
              <w:rPr>
                <w:rFonts w:ascii="Aptos" w:hAnsi="Aptos"/>
                <w:b w:val="0"/>
                <w:sz w:val="15"/>
              </w:rPr>
              <w:t>£0.00</w:t>
            </w:r>
          </w:p>
        </w:tc>
        <w:tc>
          <w:tcPr>
            <w:tcW w:type="dxa" w:w="1440"/>
            <w:vAlign w:val="top"/>
          </w:tcPr>
          <w:p>
            <w:pPr>
              <w:jc w:val="left"/>
            </w:pPr>
            <w:r/>
            <w:r>
              <w:rPr>
                <w:rFonts w:ascii="Aptos" w:hAnsi="Aptos"/>
                <w:b w:val="0"/>
                <w:sz w:val="15"/>
              </w:rPr>
              <w:t>£300,000.00</w:t>
            </w:r>
          </w:p>
        </w:tc>
        <w:tc>
          <w:tcPr>
            <w:tcW w:type="dxa" w:w="1325"/>
            <w:vAlign w:val="top"/>
          </w:tcPr>
          <w:p>
            <w:pPr>
              <w:jc w:val="left"/>
            </w:pPr>
            <w:r/>
            <w:r>
              <w:rPr>
                <w:rFonts w:ascii="Aptos" w:hAnsi="Aptos"/>
                <w:b w:val="0"/>
                <w:sz w:val="15"/>
              </w:rPr>
              <w:t>£0.00</w:t>
            </w:r>
          </w:p>
        </w:tc>
        <w:tc>
          <w:tcPr>
            <w:tcW w:type="dxa" w:w="1613"/>
            <w:vAlign w:val="top"/>
          </w:tcPr>
          <w:p>
            <w:pPr>
              <w:jc w:val="left"/>
            </w:pPr>
            <w:r/>
            <w:r>
              <w:rPr>
                <w:rFonts w:ascii="Aptos" w:hAnsi="Aptos"/>
                <w:b w:val="0"/>
                <w:sz w:val="15"/>
              </w:rPr>
              <w:t>Not compliant</w:t>
            </w:r>
          </w:p>
        </w:tc>
      </w:tr>
      <w:tr>
        <w:tc>
          <w:tcPr>
            <w:tcW w:type="dxa" w:w="2275"/>
            <w:vAlign w:val="top"/>
          </w:tcPr>
          <w:p>
            <w:pPr>
              <w:jc w:val="left"/>
            </w:pPr>
            <w:r/>
            <w:r>
              <w:rPr>
                <w:rFonts w:ascii="Aptos" w:hAnsi="Aptos"/>
                <w:b w:val="0"/>
                <w:sz w:val="15"/>
              </w:rPr>
              <w:t>Sandpiper Managed Premium Facility</w:t>
            </w:r>
          </w:p>
        </w:tc>
        <w:tc>
          <w:tcPr>
            <w:tcW w:type="dxa" w:w="1526"/>
            <w:vAlign w:val="top"/>
          </w:tcPr>
          <w:p>
            <w:pPr>
              <w:jc w:val="left"/>
            </w:pPr>
            <w:r/>
            <w:r>
              <w:rPr>
                <w:rFonts w:ascii="Aptos" w:hAnsi="Aptos"/>
                <w:b w:val="0"/>
                <w:sz w:val="15"/>
              </w:rPr>
              <w:t>£267,818.00</w:t>
            </w:r>
          </w:p>
        </w:tc>
        <w:tc>
          <w:tcPr>
            <w:tcW w:type="dxa" w:w="1483"/>
            <w:vAlign w:val="top"/>
          </w:tcPr>
          <w:p>
            <w:pPr>
              <w:jc w:val="left"/>
            </w:pPr>
            <w:r/>
            <w:r>
              <w:rPr>
                <w:rFonts w:ascii="Aptos" w:hAnsi="Aptos"/>
                <w:b w:val="0"/>
                <w:sz w:val="15"/>
              </w:rPr>
              <w:t>£6,250.00</w:t>
            </w:r>
          </w:p>
        </w:tc>
        <w:tc>
          <w:tcPr>
            <w:tcW w:type="dxa" w:w="1440"/>
            <w:vAlign w:val="top"/>
          </w:tcPr>
          <w:p>
            <w:pPr>
              <w:jc w:val="left"/>
            </w:pPr>
            <w:r/>
            <w:r>
              <w:rPr>
                <w:rFonts w:ascii="Aptos" w:hAnsi="Aptos"/>
                <w:b w:val="0"/>
                <w:sz w:val="15"/>
              </w:rPr>
              <w:t>£300,000.00</w:t>
            </w:r>
          </w:p>
        </w:tc>
        <w:tc>
          <w:tcPr>
            <w:tcW w:type="dxa" w:w="1325"/>
            <w:vAlign w:val="top"/>
          </w:tcPr>
          <w:p>
            <w:pPr>
              <w:jc w:val="left"/>
            </w:pPr>
            <w:r/>
            <w:r>
              <w:rPr>
                <w:rFonts w:ascii="Aptos" w:hAnsi="Aptos"/>
                <w:b w:val="0"/>
                <w:sz w:val="15"/>
              </w:rPr>
              <w:t>£20,000.00</w:t>
            </w:r>
          </w:p>
        </w:tc>
        <w:tc>
          <w:tcPr>
            <w:tcW w:type="dxa" w:w="1613"/>
            <w:vAlign w:val="top"/>
          </w:tcPr>
          <w:p>
            <w:pPr>
              <w:jc w:val="left"/>
            </w:pPr>
            <w:r/>
            <w:r>
              <w:rPr>
                <w:rFonts w:ascii="Aptos" w:hAnsi="Aptos"/>
                <w:b w:val="0"/>
                <w:sz w:val="15"/>
              </w:rPr>
              <w:t>Recommended: compliant</w:t>
            </w:r>
          </w:p>
        </w:tc>
      </w:tr>
      <w:tr>
        <w:tc>
          <w:tcPr>
            <w:tcW w:type="dxa" w:w="2275"/>
            <w:vAlign w:val="top"/>
          </w:tcPr>
          <w:p>
            <w:pPr>
              <w:jc w:val="left"/>
            </w:pPr>
            <w:r/>
            <w:r>
              <w:rPr>
                <w:rFonts w:ascii="Aptos" w:hAnsi="Aptos"/>
                <w:b w:val="0"/>
                <w:sz w:val="15"/>
              </w:rPr>
              <w:t>Collateralised Reserve Facility</w:t>
            </w:r>
          </w:p>
        </w:tc>
        <w:tc>
          <w:tcPr>
            <w:tcW w:type="dxa" w:w="1526"/>
            <w:vAlign w:val="top"/>
          </w:tcPr>
          <w:p>
            <w:pPr>
              <w:jc w:val="left"/>
            </w:pPr>
            <w:r/>
            <w:r>
              <w:rPr>
                <w:rFonts w:ascii="Aptos" w:hAnsi="Aptos"/>
                <w:b w:val="0"/>
                <w:sz w:val="15"/>
              </w:rPr>
              <w:t>£271,368.00</w:t>
            </w:r>
          </w:p>
        </w:tc>
        <w:tc>
          <w:tcPr>
            <w:tcW w:type="dxa" w:w="1483"/>
            <w:vAlign w:val="top"/>
          </w:tcPr>
          <w:p>
            <w:pPr>
              <w:jc w:val="left"/>
            </w:pPr>
            <w:r/>
            <w:r>
              <w:rPr>
                <w:rFonts w:ascii="Aptos" w:hAnsi="Aptos"/>
                <w:b w:val="0"/>
                <w:sz w:val="15"/>
              </w:rPr>
              <w:t>£9,800.00</w:t>
            </w:r>
          </w:p>
        </w:tc>
        <w:tc>
          <w:tcPr>
            <w:tcW w:type="dxa" w:w="1440"/>
            <w:vAlign w:val="top"/>
          </w:tcPr>
          <w:p>
            <w:pPr>
              <w:jc w:val="left"/>
            </w:pPr>
            <w:r/>
            <w:r>
              <w:rPr>
                <w:rFonts w:ascii="Aptos" w:hAnsi="Aptos"/>
                <w:b w:val="0"/>
                <w:sz w:val="15"/>
              </w:rPr>
              <w:t>£350,000.00</w:t>
            </w:r>
          </w:p>
        </w:tc>
        <w:tc>
          <w:tcPr>
            <w:tcW w:type="dxa" w:w="1325"/>
            <w:vAlign w:val="top"/>
          </w:tcPr>
          <w:p>
            <w:pPr>
              <w:jc w:val="left"/>
            </w:pPr>
            <w:r/>
            <w:r>
              <w:rPr>
                <w:rFonts w:ascii="Aptos" w:hAnsi="Aptos"/>
                <w:b w:val="0"/>
                <w:sz w:val="15"/>
              </w:rPr>
              <w:t>£25,000.00</w:t>
            </w:r>
          </w:p>
        </w:tc>
        <w:tc>
          <w:tcPr>
            <w:tcW w:type="dxa" w:w="1613"/>
            <w:vAlign w:val="top"/>
          </w:tcPr>
          <w:p>
            <w:pPr>
              <w:jc w:val="left"/>
            </w:pPr>
            <w:r/>
            <w:r>
              <w:rPr>
                <w:rFonts w:ascii="Aptos" w:hAnsi="Aptos"/>
                <w:b w:val="0"/>
                <w:sz w:val="15"/>
              </w:rPr>
              <w:t>Compliant</w:t>
            </w:r>
          </w:p>
        </w:tc>
      </w:tr>
    </w:tbl>
    <w:p>
      <w:r>
        <w:t>Treasury Cash Release is £0.00 incremental cost but is not compliant because it has no ring-fenced reserve. The Collateralised Reserve Facility is compliant at £271,368.00, but costs £3,550.00 more than the recommendation.</w:t>
      </w:r>
    </w:p>
    <w:p>
      <w:pPr>
        <w:pStyle w:val="Heading1"/>
      </w:pPr>
      <w:r>
        <w:t>Assumptions and Limitations</w:t>
      </w:r>
    </w:p>
    <w:p>
      <w:r>
        <w:t>No unsupported premium, charge, coverage or funding assumption was used. The charge exemption is presented as blank rather than zero, and the ambiguous date treatment is disclosed above. This assessment is limited to the supplied United Kingdom policy evidence and frozen rate-card snapshot applicable on 30 September 2028. It is not a live legal, tax, insurance-market or funding opinion.</w:t>
      </w:r>
    </w:p>
    <w:sectPr w:rsidR="00FC693F" w:rsidRPr="0006063C" w:rsidSect="00034616">
      <w:footerReference w:type="default" r:id="rId9"/>
      <w:pgSz w:w="12240" w:h="15840"/>
      <w:pgMar w:top="792" w:right="965" w:bottom="792" w:left="96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color w:val="6B7280"/>
        <w:sz w:val="15"/>
      </w:rPr>
      <w:t>Redcliffe Manufacturing plc | UK cyber budget review</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0" w:lineRule="auto"/>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60"/>
      <w:outlineLvl w:val="0"/>
    </w:pPr>
    <w:rPr>
      <w:rFonts w:asciiTheme="majorHAnsi" w:eastAsiaTheme="majorEastAsia" w:hAnsiTheme="majorHAnsi" w:cstheme="majorBidi" w:ascii="Aptos" w:hAnsi="Aptos"/>
      <w:b/>
      <w:bCs/>
      <w:color w:val="1F4E78"/>
      <w:sz w:val="2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F4E78"/>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