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Saltmarsh Provisions public operations briefing</w:t>
      </w:r>
    </w:p>
    <w:p>
      <w:r>
        <w:rPr>
          <w:b/>
          <w:color w:val="1F3A4D"/>
        </w:rPr>
        <w:t>Corrected paper edit | Release Candidate RC-1</w:t>
      </w:r>
      <w:r>
        <w:t xml:space="preserve"> | Runtime: 02:17 | Snapshot frozen: 18 September 2025</w:t>
      </w:r>
    </w:p>
    <w:p>
      <w:r>
        <w:rPr>
          <w:b/>
        </w:rPr>
        <w:t xml:space="preserve">Editorial boundary. </w:t>
      </w:r>
      <w:r>
        <w:t>The headline uses customer-impact events: confirmed events with consumer sales units distributed to customers. The separate confirmed Oregon event with 240 consumer sales units held before dispatch is outside the headline.</w:t>
      </w:r>
    </w:p>
    <w:p>
      <w:pPr>
        <w:pStyle w:val="Heading1"/>
      </w:pPr>
      <w:r>
        <w:t>Time-coded paper edit</w:t>
      </w:r>
    </w:p>
    <w:p>
      <w:pPr>
        <w:pStyle w:val="Heading2"/>
        <w:spacing w:before="160" w:after="60"/>
      </w:pPr>
      <w:r>
        <w:t>00:00-00:09 | Open - audience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Picture / transition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Fade up from a clean title slate. Hold the scope line for three seconds, then move to the Oregon-British Columbia locator.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Narration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This public briefing summarizes confirmed Saltmarsh Provisions events in Oregon and British Columbia. Counts use consumer sales units, meaning individual items for sale.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On-screen text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CONFIRMED EVENTS</w:t>
              <w:br/>
              <w:t>Oregon + British Columbia</w:t>
              <w:br/>
              <w:t>Counts shown as consumer sales units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Captions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This public briefing summarizes confirmed Saltmarsh Provisions events in Oregon and British Columbia. Counts use consumer sales units, meaning individual items for sale.</w:t>
            </w:r>
          </w:p>
        </w:tc>
      </w:tr>
      <w:tr>
        <w:tc>
          <w:tcPr>
            <w:tcW w:type="dxa" w:w="1872"/>
            <w:shd w:fill="DCE9E8"/>
          </w:tcPr>
          <w:p>
            <w:r>
              <w:rPr>
                <w:b/>
                <w:color w:val="1F3A4D"/>
                <w:sz w:val="17"/>
              </w:rPr>
              <w:t>Internal source cue</w:t>
            </w:r>
          </w:p>
        </w:tc>
        <w:tc>
          <w:tcPr>
            <w:tcW w:type="dxa" w:w="8424"/>
          </w:tcPr>
          <w:p>
            <w:r>
              <w:rPr>
                <w:sz w:val="18"/>
              </w:rPr>
              <w:t>Incident packet / Incident Records: confirmed rows; frozen snapshot / Unit vocabulary - continued.</w:t>
            </w:r>
          </w:p>
        </w:tc>
      </w:tr>
    </w:tbl>
    <w:p>
      <w:pPr>
        <w:spacing w:after="0"/>
      </w:pPr>
    </w:p>
    <w:p>
      <w:pPr>
        <w:pStyle w:val="Heading2"/>
        <w:spacing w:before="160" w:after="60"/>
      </w:pPr>
      <w:r>
        <w:t>00:09-00:23 | Scope boundary before headline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Picture / transition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Keep the locator on screen. Reveal the distributed and held labels one at a time; dissolve to the headline card.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Narration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For this release candidate, the headline covers customer-impact events: confirmed events with units distributed to customers. A separate confirmed Oregon event was held before dispatch, so its units are shown separately and are not in the headline.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On-screen text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HEADLINE SCOPE</w:t>
              <w:br/>
              <w:t>Customer-impact events = distributed to customers</w:t>
              <w:br/>
              <w:t>Held before dispatch = reported separately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Captions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For this release candidate, the headline covers customer-impact events: confirmed events with units distributed to customers. A separate confirmed Oregon event was held before dispatch, so its units are shown separately and are not in the headline.</w:t>
            </w:r>
          </w:p>
        </w:tc>
      </w:tr>
      <w:tr>
        <w:tc>
          <w:tcPr>
            <w:tcW w:type="dxa" w:w="1872"/>
            <w:shd w:fill="DCE9E8"/>
          </w:tcPr>
          <w:p>
            <w:r>
              <w:rPr>
                <w:b/>
                <w:color w:val="1F3A4D"/>
                <w:sz w:val="17"/>
              </w:rPr>
              <w:t>Internal source cue</w:t>
            </w:r>
          </w:p>
        </w:tc>
        <w:tc>
          <w:tcPr>
            <w:tcW w:type="dxa" w:w="8424"/>
          </w:tcPr>
          <w:p>
            <w:r>
              <w:rPr>
                <w:sz w:val="18"/>
              </w:rPr>
              <w:t>Frozen snapshot / Oregon and British Columbia disposition language; Audit / Method and Assumptions: Headline boundary.</w:t>
            </w:r>
          </w:p>
        </w:tc>
      </w:tr>
    </w:tbl>
    <w:p>
      <w:pPr>
        <w:spacing w:after="0"/>
      </w:pPr>
    </w:p>
    <w:p>
      <w:pPr>
        <w:pStyle w:val="Heading2"/>
        <w:spacing w:before="160" w:after="60"/>
      </w:pPr>
      <w:r>
        <w:t>00:23-00:36 | Customer-impact headline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Picture / transition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Hold the headline card long enough to read all three lines. Use a simple count-and-units build, then cut to Oregon.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Narration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Within that scope, 5 confirmed events involved 2,426 consumer sales units distributed to customers. The headline does not count 240 consumer sales units held before dispatch.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On-screen text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CUSTOMER-IMPACT HEADLINE</w:t>
              <w:br/>
              <w:t>5 confirmed events</w:t>
              <w:br/>
              <w:t>2,426 consumer sales units distributed to customers</w:t>
              <w:br/>
              <w:t>Not included: 240 units held before dispatch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Captions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Within that scope, 5 confirmed events involved 2,426 consumer sales units distributed to customers. The headline does not count 240 consumer sales units held before dispatch.</w:t>
            </w:r>
          </w:p>
        </w:tc>
      </w:tr>
      <w:tr>
        <w:tc>
          <w:tcPr>
            <w:tcW w:type="dxa" w:w="1872"/>
            <w:shd w:fill="DCE9E8"/>
          </w:tcPr>
          <w:p>
            <w:r>
              <w:rPr>
                <w:b/>
                <w:color w:val="1F3A4D"/>
                <w:sz w:val="17"/>
              </w:rPr>
              <w:t>Internal source cue</w:t>
            </w:r>
          </w:p>
        </w:tc>
        <w:tc>
          <w:tcPr>
            <w:tcW w:type="dxa" w:w="8424"/>
          </w:tcPr>
          <w:p>
            <w:r>
              <w:rPr>
                <w:sz w:val="18"/>
              </w:rPr>
              <w:t>Audit / Reconciled Facts: Headline scope reconciliation; selected scope formulas.</w:t>
            </w:r>
          </w:p>
        </w:tc>
      </w:tr>
    </w:tbl>
    <w:p>
      <w:pPr>
        <w:spacing w:after="0"/>
      </w:pPr>
    </w:p>
    <w:p>
      <w:pPr>
        <w:pStyle w:val="Heading2"/>
        <w:spacing w:before="160" w:after="60"/>
      </w:pPr>
      <w:r>
        <w:t>00:36-00:52 | Oregon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Picture / transition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Move to Oregon map card. Keep the separate held label visible after the distributed total appears; wipe to British Columbia.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Narration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Oregon accounts for 2 customer-impact events and 1,522 consumer sales units distributed to customers. The separate Oregon event involved 240 consumer sales units held before dispatch. It did not reach distribution.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On-screen text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OREGON</w:t>
              <w:br/>
              <w:t>2 customer-impact events</w:t>
              <w:br/>
              <w:t>1,522 consumer sales units distributed to customers</w:t>
              <w:br/>
              <w:t>Separate: 240 consumer sales units held before dispatch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Captions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Oregon accounts for 2 customer-impact events and 1,522 consumer sales units distributed to customers. The separate Oregon event involved 240 consumer sales units held before dispatch. It did not reach distribution.</w:t>
            </w:r>
          </w:p>
        </w:tc>
      </w:tr>
      <w:tr>
        <w:tc>
          <w:tcPr>
            <w:tcW w:type="dxa" w:w="1872"/>
            <w:shd w:fill="DCE9E8"/>
          </w:tcPr>
          <w:p>
            <w:r>
              <w:rPr>
                <w:b/>
                <w:color w:val="1F3A4D"/>
                <w:sz w:val="17"/>
              </w:rPr>
              <w:t>Internal source cue</w:t>
            </w:r>
          </w:p>
        </w:tc>
        <w:tc>
          <w:tcPr>
            <w:tcW w:type="dxa" w:w="8424"/>
          </w:tcPr>
          <w:p>
            <w:r>
              <w:rPr>
                <w:sz w:val="18"/>
              </w:rPr>
              <w:t>Audit / Reconciled Facts: Oregon case-level rows; frozen snapshot / Oregon section.</w:t>
            </w:r>
          </w:p>
        </w:tc>
      </w:tr>
    </w:tbl>
    <w:p>
      <w:pPr>
        <w:spacing w:after="0"/>
      </w:pPr>
    </w:p>
    <w:p>
      <w:pPr>
        <w:pStyle w:val="Heading2"/>
        <w:spacing w:before="160" w:after="60"/>
      </w:pPr>
      <w:r>
        <w:t>00:52-01:07 | British Columbia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Picture / transition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Match cut to British Columbia card. Hold the total and event count together, then dissolve to the comparison source slate.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Narration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British Columbia accounts for 3 customer-impact events and 904 consumer sales units distributed to customers. Its figures use the same consumer sales unit basis.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On-screen text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BRITISH COLUMBIA</w:t>
              <w:br/>
              <w:t>3 customer-impact events</w:t>
              <w:br/>
              <w:t>904 consumer sales units distributed to customers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Captions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British Columbia accounts for 3 customer-impact events and 904 consumer sales units distributed to customers. Its figures use the same consumer sales unit basis.</w:t>
            </w:r>
          </w:p>
        </w:tc>
      </w:tr>
      <w:tr>
        <w:tc>
          <w:tcPr>
            <w:tcW w:type="dxa" w:w="1872"/>
            <w:shd w:fill="DCE9E8"/>
          </w:tcPr>
          <w:p>
            <w:r>
              <w:rPr>
                <w:b/>
                <w:color w:val="1F3A4D"/>
                <w:sz w:val="17"/>
              </w:rPr>
              <w:t>Internal source cue</w:t>
            </w:r>
          </w:p>
        </w:tc>
        <w:tc>
          <w:tcPr>
            <w:tcW w:type="dxa" w:w="8424"/>
          </w:tcPr>
          <w:p>
            <w:r>
              <w:rPr>
                <w:sz w:val="18"/>
              </w:rPr>
              <w:t>Audit / Reconciled Facts: British Columbia case-level rows; frozen snapshot / British Columbia section.</w:t>
            </w:r>
          </w:p>
        </w:tc>
      </w:tr>
    </w:tbl>
    <w:p>
      <w:pPr>
        <w:spacing w:after="0"/>
      </w:pPr>
    </w:p>
    <w:p>
      <w:pPr>
        <w:pStyle w:val="Heading2"/>
        <w:spacing w:before="160" w:after="60"/>
      </w:pPr>
      <w:r>
        <w:t>01:07-01:21 | Frozen comparison basis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Picture / transition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Place Oregon and British Columbia cards side by side. Use a restrained source-date slate before the calculation example.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Narration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The comparison uses the frozen Oregon-British Columbia public briefing snapshot dated 18 September 2025. In both places, this briefing distinguishes units distributed to customers from inventory held before distribution.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On-screen text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COMPARISON BASIS</w:t>
              <w:br/>
              <w:t>Frozen snapshot: 18 September 2025</w:t>
              <w:br/>
              <w:t>Distributed to customers is distinct from held before distribution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Captions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The comparison uses the frozen Oregon-British Columbia public briefing snapshot dated 18 September 2025. In both places, this briefing distinguishes units distributed to customers from inventory held before distribution.</w:t>
            </w:r>
          </w:p>
        </w:tc>
      </w:tr>
      <w:tr>
        <w:tc>
          <w:tcPr>
            <w:tcW w:type="dxa" w:w="1872"/>
            <w:shd w:fill="DCE9E8"/>
          </w:tcPr>
          <w:p>
            <w:r>
              <w:rPr>
                <w:b/>
                <w:color w:val="1F3A4D"/>
                <w:sz w:val="17"/>
              </w:rPr>
              <w:t>Internal source cue</w:t>
            </w:r>
          </w:p>
        </w:tc>
        <w:tc>
          <w:tcPr>
            <w:tcW w:type="dxa" w:w="8424"/>
          </w:tcPr>
          <w:p>
            <w:r>
              <w:rPr>
                <w:sz w:val="18"/>
              </w:rPr>
              <w:t>OR_BC_public_briefing_snapshot.docx: header, Oregon section, British Columbia section.</w:t>
            </w:r>
          </w:p>
        </w:tc>
      </w:tr>
    </w:tbl>
    <w:p>
      <w:pPr>
        <w:spacing w:after="0"/>
      </w:pPr>
    </w:p>
    <w:p>
      <w:pPr>
        <w:pStyle w:val="Heading2"/>
        <w:spacing w:before="160" w:after="60"/>
      </w:pPr>
      <w:r>
        <w:t>01:21-01:37 | Consumer-sales-unit conversion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Picture / transition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Use a two-line calculation graphic. Reveal each conversion in sequence; cut away from the math only after both results are legible.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Narration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The totals are consumer sales units, not packs, containers, or shipments. The reconciliation converts 126 packs to 1,008 consumer sales units, and 4 shipments with 12 containers of 10 units each to 480 consumer sales units.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On-screen text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CONVERSION EXAMPLES</w:t>
              <w:br/>
              <w:t>126 packs x 8 = 1,008 consumer sales units</w:t>
              <w:br/>
              <w:t>4 shipments x 12 containers x 10 = 480 consumer sales units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Captions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The totals are consumer sales units, not packs, containers, or shipments. The reconciliation converts 126 packs to 1,008 consumer sales units, and 4 shipments with 12 containers of 10 units each to 480 consumer sales units.</w:t>
            </w:r>
          </w:p>
        </w:tc>
      </w:tr>
      <w:tr>
        <w:tc>
          <w:tcPr>
            <w:tcW w:type="dxa" w:w="1872"/>
            <w:shd w:fill="DCE9E8"/>
          </w:tcPr>
          <w:p>
            <w:r>
              <w:rPr>
                <w:b/>
                <w:color w:val="1F3A4D"/>
                <w:sz w:val="17"/>
              </w:rPr>
              <w:t>Internal source cue</w:t>
            </w:r>
          </w:p>
        </w:tc>
        <w:tc>
          <w:tcPr>
            <w:tcW w:type="dxa" w:w="8424"/>
          </w:tcPr>
          <w:p>
            <w:r>
              <w:rPr>
                <w:sz w:val="18"/>
              </w:rPr>
              <w:t>Incident Records VN-2601 and VN-2604, effective values; frozen snapshot / Unit vocabulary - continued.</w:t>
            </w:r>
          </w:p>
        </w:tc>
      </w:tr>
    </w:tbl>
    <w:p>
      <w:pPr>
        <w:spacing w:after="0"/>
      </w:pPr>
    </w:p>
    <w:p>
      <w:pPr>
        <w:pStyle w:val="Heading2"/>
        <w:spacing w:before="160" w:after="60"/>
      </w:pPr>
      <w:r>
        <w:t>01:37-01:50 | Factual status guardrail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Picture / transition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Return to a simple facts card. Use a neutral transition and hold the three factual categories as the narration completes.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Narration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The corrected edit reports confirmed events, quantities, and distribution status only. It does not characterize these events as a recall or state a cause.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On-screen text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FACT BASIS</w:t>
              <w:br/>
              <w:t>Confirmed event status | Quantity | Distribution status</w:t>
              <w:br/>
              <w:t>No recall or cause statement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Captions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The corrected edit reports confirmed events, quantities, and distribution status only. It does not characterize these events as a recall or state a cause.</w:t>
            </w:r>
          </w:p>
        </w:tc>
      </w:tr>
      <w:tr>
        <w:tc>
          <w:tcPr>
            <w:tcW w:type="dxa" w:w="1872"/>
            <w:shd w:fill="DCE9E8"/>
          </w:tcPr>
          <w:p>
            <w:r>
              <w:rPr>
                <w:b/>
                <w:color w:val="1F3A4D"/>
                <w:sz w:val="17"/>
              </w:rPr>
              <w:t>Internal source cue</w:t>
            </w:r>
          </w:p>
        </w:tc>
        <w:tc>
          <w:tcPr>
            <w:tcW w:type="dxa" w:w="8424"/>
          </w:tcPr>
          <w:p>
            <w:r>
              <w:rPr>
                <w:sz w:val="18"/>
              </w:rPr>
              <w:t>Frozen snapshot / Oregon and British Columbia safeguards; Audit / Edit Issues I-11.</w:t>
            </w:r>
          </w:p>
        </w:tc>
      </w:tr>
    </w:tbl>
    <w:p>
      <w:pPr>
        <w:spacing w:after="0"/>
      </w:pPr>
    </w:p>
    <w:p>
      <w:pPr>
        <w:pStyle w:val="Heading2"/>
        <w:spacing w:before="160" w:after="60"/>
      </w:pPr>
      <w:r>
        <w:t>01:50-02:05 | Reconciliation close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Picture / transition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Return to the paired jurisdiction cards. Bring back the customer-impact total and the separate held label; dissolve to closing slate.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Narration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Across the five customer-impact events, the state and province figures reconcile to the headline total. The held-before-dispatch Oregon event remains separate.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On-screen text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RECONCILED HEADLINE</w:t>
              <w:br/>
              <w:t>5 events | 2,426 consumer sales units</w:t>
              <w:br/>
              <w:t>Separate: 240 consumer sales units held before dispatch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Captions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Across the five customer-impact events, the state and province figures reconcile to the headline total. The held-before-dispatch Oregon event remains separate.</w:t>
            </w:r>
          </w:p>
        </w:tc>
      </w:tr>
      <w:tr>
        <w:tc>
          <w:tcPr>
            <w:tcW w:type="dxa" w:w="1872"/>
            <w:shd w:fill="DCE9E8"/>
          </w:tcPr>
          <w:p>
            <w:r>
              <w:rPr>
                <w:b/>
                <w:color w:val="1F3A4D"/>
                <w:sz w:val="17"/>
              </w:rPr>
              <w:t>Internal source cue</w:t>
            </w:r>
          </w:p>
        </w:tc>
        <w:tc>
          <w:tcPr>
            <w:tcW w:type="dxa" w:w="8424"/>
          </w:tcPr>
          <w:p>
            <w:r>
              <w:rPr>
                <w:sz w:val="18"/>
              </w:rPr>
              <w:t>Audit / Reconciled Facts: case-level totals and selected headline summary.</w:t>
            </w:r>
          </w:p>
        </w:tc>
      </w:tr>
    </w:tbl>
    <w:p>
      <w:pPr>
        <w:spacing w:after="0"/>
      </w:pPr>
    </w:p>
    <w:p>
      <w:pPr>
        <w:pStyle w:val="Heading2"/>
        <w:spacing w:before="160" w:after="60"/>
      </w:pPr>
      <w:r>
        <w:t>02:05-02:17 | Closing slate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Picture / transition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Hold the closing slate for the full twelve seconds. Maintain the scope label and frozen-date source cue; fade to black.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Narration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This is a factual comparison of the frozen 18 September 2025 snapshot and the reconciled incident records. The customer-impact scope and separate held inventory remain visible through the closing slate.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On-screen text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Frozen snapshot: 18 September 2025</w:t>
              <w:br/>
              <w:t>Customer-impact headline: 5 events | 2,426 consumer sales units</w:t>
              <w:br/>
              <w:t>Held before dispatch: 240 consumer sales units</w:t>
            </w:r>
          </w:p>
        </w:tc>
      </w:tr>
      <w:tr>
        <w:tc>
          <w:tcPr>
            <w:tcW w:type="dxa" w:w="1872"/>
            <w:shd w:fill="DCE9E8"/>
          </w:tcPr>
          <w:p>
            <w:pPr>
              <w:keepNext/>
            </w:pPr>
            <w:r>
              <w:rPr>
                <w:b/>
                <w:color w:val="1F3A4D"/>
                <w:sz w:val="17"/>
              </w:rPr>
              <w:t>Captions</w:t>
            </w:r>
          </w:p>
        </w:tc>
        <w:tc>
          <w:tcPr>
            <w:tcW w:type="dxa" w:w="8424"/>
          </w:tcPr>
          <w:p>
            <w:pPr>
              <w:keepNext/>
            </w:pPr>
            <w:r>
              <w:rPr>
                <w:sz w:val="18"/>
              </w:rPr>
              <w:t>This is a factual comparison of the frozen 18 September 2025 snapshot and the reconciled incident records. The customer-impact scope and separate held inventory remain visible through the closing slate.</w:t>
            </w:r>
          </w:p>
        </w:tc>
      </w:tr>
      <w:tr>
        <w:tc>
          <w:tcPr>
            <w:tcW w:type="dxa" w:w="1872"/>
            <w:shd w:fill="DCE9E8"/>
          </w:tcPr>
          <w:p>
            <w:r>
              <w:rPr>
                <w:b/>
                <w:color w:val="1F3A4D"/>
                <w:sz w:val="17"/>
              </w:rPr>
              <w:t>Internal source cue</w:t>
            </w:r>
          </w:p>
        </w:tc>
        <w:tc>
          <w:tcPr>
            <w:tcW w:type="dxa" w:w="8424"/>
          </w:tcPr>
          <w:p>
            <w:r>
              <w:rPr>
                <w:sz w:val="18"/>
              </w:rPr>
              <w:t>Frozen snapshot header; Audit / Reconciled Facts: selected headline summary.</w:t>
            </w:r>
          </w:p>
        </w:tc>
      </w:tr>
    </w:tbl>
    <w:p>
      <w:pPr>
        <w:spacing w:after="0"/>
      </w:pPr>
    </w:p>
    <w:p>
      <w:pPr>
        <w:pStyle w:val="Heading1"/>
      </w:pPr>
      <w:r>
        <w:t>Internal case-source ledger</w:t>
      </w:r>
    </w:p>
    <w:p>
      <w:r>
        <w:rPr>
          <w:b/>
        </w:rPr>
        <w:t xml:space="preserve">Production only. </w:t>
      </w:r>
      <w:r>
        <w:t>These are internal source cues and case totals. They are not narration or public on-screen copy.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1F3A4D"/>
          </w:tcPr>
          <w:p>
            <w:r>
              <w:rPr>
                <w:b/>
                <w:color w:val="FFFFFF"/>
                <w:sz w:val="16"/>
              </w:rPr>
              <w:t>Headline treatment</w:t>
            </w:r>
          </w:p>
        </w:tc>
        <w:tc>
          <w:tcPr>
            <w:tcW w:type="dxa" w:w="2091"/>
            <w:shd w:fill="1F3A4D"/>
          </w:tcPr>
          <w:p>
            <w:r>
              <w:rPr>
                <w:b/>
                <w:color w:val="FFFFFF"/>
                <w:sz w:val="16"/>
              </w:rPr>
              <w:t>Canonical case</w:t>
            </w:r>
          </w:p>
        </w:tc>
        <w:tc>
          <w:tcPr>
            <w:tcW w:type="dxa" w:w="2091"/>
            <w:shd w:fill="1F3A4D"/>
          </w:tcPr>
          <w:p>
            <w:r>
              <w:rPr>
                <w:b/>
                <w:color w:val="FFFFFF"/>
                <w:sz w:val="16"/>
              </w:rPr>
              <w:t>Jurisdiction</w:t>
            </w:r>
          </w:p>
        </w:tc>
        <w:tc>
          <w:tcPr>
            <w:tcW w:type="dxa" w:w="2091"/>
            <w:shd w:fill="1F3A4D"/>
          </w:tcPr>
          <w:p>
            <w:r>
              <w:rPr>
                <w:b/>
                <w:color w:val="FFFFFF"/>
                <w:sz w:val="16"/>
              </w:rPr>
              <w:t>Consumer sales units</w:t>
            </w:r>
          </w:p>
        </w:tc>
        <w:tc>
          <w:tcPr>
            <w:tcW w:type="dxa" w:w="2091"/>
            <w:shd w:fill="1F3A4D"/>
          </w:tcPr>
          <w:p>
            <w:r>
              <w:rPr>
                <w:b/>
                <w:color w:val="FFFFFF"/>
                <w:sz w:val="16"/>
              </w:rPr>
              <w:t>Source record IDs</w:t>
            </w:r>
          </w:p>
        </w:tc>
      </w:tr>
      <w:tr>
        <w:tc>
          <w:tcPr>
            <w:tcW w:type="dxa" w:w="2091"/>
          </w:tcPr>
          <w:p>
            <w:r>
              <w:rPr>
                <w:sz w:val="17"/>
              </w:rPr>
              <w:t>Customer-impact headline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OR-4187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Oregon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1,102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VN-2601, VN-2602</w:t>
            </w:r>
          </w:p>
        </w:tc>
      </w:tr>
      <w:tr>
        <w:tc>
          <w:tcPr>
            <w:tcW w:type="dxa" w:w="2091"/>
          </w:tcPr>
          <w:p>
            <w:r>
              <w:rPr>
                <w:sz w:val="17"/>
              </w:rPr>
              <w:t>Customer-impact headline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OR-4188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Oregon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420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VN-2603</w:t>
            </w:r>
          </w:p>
        </w:tc>
      </w:tr>
      <w:tr>
        <w:tc>
          <w:tcPr>
            <w:tcW w:type="dxa" w:w="2091"/>
          </w:tcPr>
          <w:p>
            <w:r>
              <w:rPr>
                <w:sz w:val="17"/>
              </w:rPr>
              <w:t>Customer-impact headline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BC-7720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British Columbia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480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VN-2604</w:t>
            </w:r>
          </w:p>
        </w:tc>
      </w:tr>
      <w:tr>
        <w:tc>
          <w:tcPr>
            <w:tcW w:type="dxa" w:w="2091"/>
          </w:tcPr>
          <w:p>
            <w:r>
              <w:rPr>
                <w:sz w:val="17"/>
              </w:rPr>
              <w:t>Customer-impact headline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BC-7721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British Columbia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228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VN-2605</w:t>
            </w:r>
          </w:p>
        </w:tc>
      </w:tr>
      <w:tr>
        <w:tc>
          <w:tcPr>
            <w:tcW w:type="dxa" w:w="2091"/>
          </w:tcPr>
          <w:p>
            <w:r>
              <w:rPr>
                <w:sz w:val="17"/>
              </w:rPr>
              <w:t>Customer-impact headline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BC-7722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British Columbia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196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VN-2606</w:t>
            </w:r>
          </w:p>
        </w:tc>
      </w:tr>
      <w:tr>
        <w:tc>
          <w:tcPr>
            <w:tcW w:type="dxa" w:w="2091"/>
          </w:tcPr>
          <w:p>
            <w:r>
              <w:rPr>
                <w:sz w:val="17"/>
              </w:rPr>
              <w:t>Separate; outside headline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OR-4190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Oregon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240</w:t>
            </w:r>
          </w:p>
        </w:tc>
        <w:tc>
          <w:tcPr>
            <w:tcW w:type="dxa" w:w="2091"/>
          </w:tcPr>
          <w:p>
            <w:r>
              <w:rPr>
                <w:sz w:val="17"/>
              </w:rPr>
              <w:t>VN-2607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>Corrected paper edit | Source set frozen for 26 Sep 2025 release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SALT MARSH PROVISIONS  |  PUBLIC OPERATIONS BRIEFING  |  RC-1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A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3A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Saltmarsh corrected briefing</dc:title>
  <dc:subject>Release Candidate RC-1</dc:subject>
  <dc:creator>Saltmarsh Provisions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