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GRANTSMUIR COUNTY RECREATION SERVICES</w:t>
      </w:r>
    </w:p>
    <w:p>
      <w:pPr>
        <w:jc w:val="center"/>
      </w:pPr>
      <w:r>
        <w:rPr>
          <w:b/>
          <w:sz w:val="20"/>
        </w:rPr>
        <w:t>Subsidized-Rate Eligibility Determination | Reusable Form + Completed Finding</w:t>
      </w:r>
    </w:p>
    <w:p>
      <w:r>
        <w:rPr>
          <w:b/>
        </w:rPr>
        <w:t xml:space="preserve">Use: </w:t>
      </w:r>
      <w:r>
        <w:t>Complete prompts for any club, then record evidence, analysis, disclosure, and one final rate decision. Operational rate eligibility only—not county legal, procurement, tax, or ethics advice.</w:t>
      </w:r>
    </w:p>
    <w:tbl>
      <w:tblPr>
        <w:tblW w:type="auto" w:w="0"/>
        <w:tblLayout w:type="fixed"/>
        <w:tblLook w:firstColumn="1" w:firstRow="1" w:lastColumn="0" w:lastRow="0" w:noHBand="0" w:noVBand="1" w:val="04A0"/>
      </w:tblPr>
      <w:tblGrid>
        <w:gridCol w:w="10368"/>
      </w:tblGrid>
      <w:tr>
        <w:tc>
          <w:tcPr>
            <w:tcW w:type="dxa" w:w="10656"/>
            <w:shd w:fill="1F4E79"/>
          </w:tcPr>
          <w:p>
            <w:pPr>
              <w:spacing w:after="0"/>
            </w:pPr>
            <w:r/>
            <w:r>
              <w:rPr>
                <w:b/>
                <w:color w:val="FFFFFF"/>
                <w:sz w:val="18"/>
              </w:rPr>
              <w:t>1. CASE IDENTIFICATION  |  reusable prompts + completed Fenmarch entry</w:t>
            </w:r>
          </w:p>
        </w:tc>
      </w:tr>
    </w:tbl>
    <w:p>
      <w:pPr>
        <w:spacing w:after="0"/>
      </w:pPr>
    </w:p>
    <w:tbl>
      <w:tblPr>
        <w:tblStyle w:val="TableGrid"/>
        <w:tblW w:type="auto" w:w="0"/>
        <w:jc w:val="center"/>
        <w:tblLayout w:type="fixed"/>
        <w:tblLook w:firstColumn="1" w:firstRow="1" w:lastColumn="0" w:lastRow="0" w:noHBand="0" w:noVBand="1" w:val="04A0"/>
      </w:tblPr>
      <w:tblGrid>
        <w:gridCol w:w="1944"/>
        <w:gridCol w:w="3888"/>
        <w:gridCol w:w="4536"/>
      </w:tblGrid>
      <w:tr>
        <w:tc>
          <w:tcPr>
            <w:tcW w:type="dxa" w:w="3552"/>
            <w:shd w:fill="D9EAF7"/>
          </w:tcPr>
          <w:p>
            <w:pPr>
              <w:spacing w:after="0"/>
            </w:pPr>
            <w:r/>
            <w:r>
              <w:rPr>
                <w:b/>
                <w:color w:val="1F4E79"/>
                <w:sz w:val="16"/>
              </w:rPr>
              <w:t>Field</w:t>
            </w:r>
          </w:p>
        </w:tc>
        <w:tc>
          <w:tcPr>
            <w:tcW w:type="dxa" w:w="3552"/>
            <w:shd w:fill="D9EAF7"/>
          </w:tcPr>
          <w:p>
            <w:pPr>
              <w:spacing w:after="0"/>
            </w:pPr>
            <w:r/>
            <w:r>
              <w:rPr>
                <w:b/>
                <w:color w:val="1F4E79"/>
                <w:sz w:val="16"/>
              </w:rPr>
              <w:t>Form prompt</w:t>
            </w:r>
          </w:p>
        </w:tc>
        <w:tc>
          <w:tcPr>
            <w:tcW w:type="dxa" w:w="3552"/>
            <w:shd w:fill="D9EAF7"/>
          </w:tcPr>
          <w:p>
            <w:pPr>
              <w:spacing w:after="0"/>
            </w:pPr>
            <w:r/>
            <w:r>
              <w:rPr>
                <w:b/>
                <w:color w:val="1F4E79"/>
                <w:sz w:val="16"/>
              </w:rPr>
              <w:t>Fenmarch Aquatic Club entry</w:t>
            </w:r>
          </w:p>
        </w:tc>
      </w:tr>
      <w:tr>
        <w:tc>
          <w:tcPr>
            <w:tcW w:type="dxa" w:w="1944"/>
          </w:tcPr>
          <w:p>
            <w:pPr>
              <w:spacing w:after="0"/>
            </w:pPr>
            <w:r/>
            <w:r>
              <w:rPr>
                <w:b/>
                <w:sz w:val="16"/>
              </w:rPr>
              <w:t>Applicant</w:t>
            </w:r>
          </w:p>
        </w:tc>
        <w:tc>
          <w:tcPr>
            <w:tcW w:type="dxa" w:w="3888"/>
          </w:tcPr>
          <w:p>
            <w:pPr>
              <w:spacing w:after="0"/>
            </w:pPr>
            <w:r/>
            <w:r>
              <w:rPr>
                <w:b w:val="0"/>
                <w:sz w:val="16"/>
              </w:rPr>
              <w:t>Club name</w:t>
            </w:r>
          </w:p>
        </w:tc>
        <w:tc>
          <w:tcPr>
            <w:tcW w:type="dxa" w:w="4536"/>
          </w:tcPr>
          <w:p>
            <w:pPr>
              <w:spacing w:after="0"/>
            </w:pPr>
            <w:r/>
            <w:r>
              <w:rPr>
                <w:b w:val="0"/>
                <w:sz w:val="16"/>
              </w:rPr>
              <w:t>Fenmarch Aquatic Club</w:t>
            </w:r>
          </w:p>
        </w:tc>
      </w:tr>
      <w:tr>
        <w:tc>
          <w:tcPr>
            <w:tcW w:type="dxa" w:w="1944"/>
          </w:tcPr>
          <w:p>
            <w:pPr>
              <w:spacing w:after="0"/>
            </w:pPr>
            <w:r/>
            <w:r>
              <w:rPr>
                <w:b/>
                <w:sz w:val="16"/>
              </w:rPr>
              <w:t>Administering organization</w:t>
            </w:r>
          </w:p>
        </w:tc>
        <w:tc>
          <w:tcPr>
            <w:tcW w:type="dxa" w:w="3888"/>
          </w:tcPr>
          <w:p>
            <w:pPr>
              <w:spacing w:after="0"/>
            </w:pPr>
            <w:r/>
            <w:r>
              <w:rPr>
                <w:b w:val="0"/>
                <w:sz w:val="16"/>
              </w:rPr>
              <w:t>Department</w:t>
            </w:r>
          </w:p>
        </w:tc>
        <w:tc>
          <w:tcPr>
            <w:tcW w:type="dxa" w:w="4536"/>
          </w:tcPr>
          <w:p>
            <w:pPr>
              <w:spacing w:after="0"/>
            </w:pPr>
            <w:r/>
            <w:r>
              <w:rPr>
                <w:b w:val="0"/>
                <w:sz w:val="16"/>
              </w:rPr>
              <w:t>Grantsmuir County Recreation Services</w:t>
            </w:r>
          </w:p>
        </w:tc>
      </w:tr>
      <w:tr>
        <w:tc>
          <w:tcPr>
            <w:tcW w:type="dxa" w:w="1944"/>
          </w:tcPr>
          <w:p>
            <w:pPr>
              <w:spacing w:after="0"/>
            </w:pPr>
            <w:r/>
            <w:r>
              <w:rPr>
                <w:b/>
                <w:sz w:val="16"/>
              </w:rPr>
              <w:t>Service / period</w:t>
            </w:r>
          </w:p>
        </w:tc>
        <w:tc>
          <w:tcPr>
            <w:tcW w:type="dxa" w:w="3888"/>
          </w:tcPr>
          <w:p>
            <w:pPr>
              <w:spacing w:after="0"/>
            </w:pPr>
            <w:r/>
            <w:r>
              <w:rPr>
                <w:b w:val="0"/>
                <w:sz w:val="16"/>
              </w:rPr>
              <w:t>Facility and season</w:t>
            </w:r>
          </w:p>
        </w:tc>
        <w:tc>
          <w:tcPr>
            <w:tcW w:type="dxa" w:w="4536"/>
          </w:tcPr>
          <w:p>
            <w:pPr>
              <w:spacing w:after="0"/>
            </w:pPr>
            <w:r/>
            <w:r>
              <w:rPr>
                <w:b w:val="0"/>
                <w:sz w:val="16"/>
              </w:rPr>
              <w:t>Pool time — next season</w:t>
            </w:r>
          </w:p>
        </w:tc>
      </w:tr>
      <w:tr>
        <w:tc>
          <w:tcPr>
            <w:tcW w:type="dxa" w:w="1944"/>
          </w:tcPr>
          <w:p>
            <w:pPr>
              <w:spacing w:after="0"/>
            </w:pPr>
            <w:r/>
            <w:r>
              <w:rPr>
                <w:b/>
                <w:sz w:val="16"/>
              </w:rPr>
              <w:t>Requested quantity</w:t>
            </w:r>
          </w:p>
        </w:tc>
        <w:tc>
          <w:tcPr>
            <w:tcW w:type="dxa" w:w="3888"/>
          </w:tcPr>
          <w:p>
            <w:pPr>
              <w:spacing w:after="0"/>
            </w:pPr>
            <w:r/>
            <w:r>
              <w:rPr>
                <w:b w:val="0"/>
                <w:sz w:val="16"/>
              </w:rPr>
              <w:t>Hours / capacity</w:t>
            </w:r>
          </w:p>
        </w:tc>
        <w:tc>
          <w:tcPr>
            <w:tcW w:type="dxa" w:w="4536"/>
          </w:tcPr>
          <w:p>
            <w:pPr>
              <w:spacing w:after="0"/>
            </w:pPr>
            <w:r/>
            <w:r>
              <w:rPr>
                <w:b w:val="0"/>
                <w:sz w:val="16"/>
              </w:rPr>
              <w:t>340 pool hours</w:t>
            </w:r>
          </w:p>
        </w:tc>
      </w:tr>
      <w:tr>
        <w:tc>
          <w:tcPr>
            <w:tcW w:type="dxa" w:w="1944"/>
          </w:tcPr>
          <w:p>
            <w:pPr>
              <w:spacing w:after="0"/>
            </w:pPr>
            <w:r/>
            <w:r>
              <w:rPr>
                <w:b/>
                <w:sz w:val="16"/>
              </w:rPr>
              <w:t>Requested rate/category</w:t>
            </w:r>
          </w:p>
        </w:tc>
        <w:tc>
          <w:tcPr>
            <w:tcW w:type="dxa" w:w="3888"/>
          </w:tcPr>
          <w:p>
            <w:pPr>
              <w:spacing w:after="0"/>
            </w:pPr>
            <w:r/>
            <w:r>
              <w:rPr>
                <w:b w:val="0"/>
                <w:sz w:val="16"/>
              </w:rPr>
              <w:t>Rate sought</w:t>
            </w:r>
          </w:p>
        </w:tc>
        <w:tc>
          <w:tcPr>
            <w:tcW w:type="dxa" w:w="4536"/>
          </w:tcPr>
          <w:p>
            <w:pPr>
              <w:spacing w:after="0"/>
            </w:pPr>
            <w:r/>
            <w:r>
              <w:rPr>
                <w:b w:val="0"/>
                <w:sz w:val="16"/>
              </w:rPr>
              <w:t>Resident-nonprofit subsidized rate</w:t>
            </w:r>
          </w:p>
        </w:tc>
      </w:tr>
      <w:tr>
        <w:tc>
          <w:tcPr>
            <w:tcW w:type="dxa" w:w="1944"/>
          </w:tcPr>
          <w:p>
            <w:pPr>
              <w:spacing w:after="0"/>
            </w:pPr>
            <w:r/>
            <w:r>
              <w:rPr>
                <w:b/>
                <w:sz w:val="16"/>
              </w:rPr>
              <w:t>Reviewer / recorder</w:t>
            </w:r>
          </w:p>
        </w:tc>
        <w:tc>
          <w:tcPr>
            <w:tcW w:type="dxa" w:w="3888"/>
          </w:tcPr>
          <w:p>
            <w:pPr>
              <w:spacing w:after="0"/>
            </w:pPr>
            <w:r/>
            <w:r>
              <w:rPr>
                <w:b w:val="0"/>
                <w:sz w:val="16"/>
              </w:rPr>
              <w:t>Name and role</w:t>
            </w:r>
          </w:p>
        </w:tc>
        <w:tc>
          <w:tcPr>
            <w:tcW w:type="dxa" w:w="4536"/>
          </w:tcPr>
          <w:p>
            <w:pPr>
              <w:spacing w:after="0"/>
            </w:pPr>
            <w:r/>
            <w:r>
              <w:rPr>
                <w:b w:val="0"/>
                <w:sz w:val="16"/>
              </w:rPr>
              <w:t>Ines Waverley, Recreation Services reviewer</w:t>
            </w:r>
          </w:p>
        </w:tc>
      </w:tr>
    </w:tbl>
    <w:tbl>
      <w:tblPr>
        <w:tblW w:type="auto" w:w="0"/>
        <w:tblLayout w:type="fixed"/>
        <w:tblLook w:firstColumn="1" w:firstRow="1" w:lastColumn="0" w:lastRow="0" w:noHBand="0" w:noVBand="1" w:val="04A0"/>
      </w:tblPr>
      <w:tblGrid>
        <w:gridCol w:w="10368"/>
      </w:tblGrid>
      <w:tr>
        <w:tc>
          <w:tcPr>
            <w:tcW w:type="dxa" w:w="10656"/>
            <w:shd w:fill="1F4E79"/>
          </w:tcPr>
          <w:p>
            <w:pPr>
              <w:spacing w:after="0"/>
            </w:pPr>
            <w:r/>
            <w:r>
              <w:rPr>
                <w:b/>
                <w:color w:val="FFFFFF"/>
                <w:sz w:val="18"/>
              </w:rPr>
              <w:t>2. EVIDENCE / FACTS  |  source and limitation are recorded</w:t>
            </w:r>
          </w:p>
        </w:tc>
      </w:tr>
    </w:tbl>
    <w:p>
      <w:pPr>
        <w:spacing w:after="0"/>
      </w:pPr>
    </w:p>
    <w:tbl>
      <w:tblPr>
        <w:tblStyle w:val="TableGrid"/>
        <w:tblW w:type="auto" w:w="0"/>
        <w:jc w:val="center"/>
        <w:tblLayout w:type="fixed"/>
        <w:tblLook w:firstColumn="1" w:firstRow="1" w:lastColumn="0" w:lastRow="0" w:noHBand="0" w:noVBand="1" w:val="04A0"/>
      </w:tblPr>
      <w:tblGrid>
        <w:gridCol w:w="2808"/>
        <w:gridCol w:w="5184"/>
        <w:gridCol w:w="2376"/>
      </w:tblGrid>
      <w:tr>
        <w:tc>
          <w:tcPr>
            <w:tcW w:type="dxa" w:w="3552"/>
            <w:shd w:fill="D9EAF7"/>
          </w:tcPr>
          <w:p>
            <w:pPr>
              <w:spacing w:after="0"/>
            </w:pPr>
            <w:r/>
            <w:r>
              <w:rPr>
                <w:b/>
                <w:color w:val="1F4E79"/>
                <w:sz w:val="16"/>
              </w:rPr>
              <w:t>Evidence item</w:t>
            </w:r>
          </w:p>
        </w:tc>
        <w:tc>
          <w:tcPr>
            <w:tcW w:type="dxa" w:w="3552"/>
            <w:shd w:fill="D9EAF7"/>
          </w:tcPr>
          <w:p>
            <w:pPr>
              <w:spacing w:after="0"/>
            </w:pPr>
            <w:r/>
            <w:r>
              <w:rPr>
                <w:b/>
                <w:color w:val="1F4E79"/>
                <w:sz w:val="16"/>
              </w:rPr>
              <w:t>Completed observation</w:t>
            </w:r>
          </w:p>
        </w:tc>
        <w:tc>
          <w:tcPr>
            <w:tcW w:type="dxa" w:w="3552"/>
            <w:shd w:fill="D9EAF7"/>
          </w:tcPr>
          <w:p>
            <w:pPr>
              <w:spacing w:after="0"/>
            </w:pPr>
            <w:r/>
            <w:r>
              <w:rPr>
                <w:b/>
                <w:color w:val="1F4E79"/>
                <w:sz w:val="16"/>
              </w:rPr>
              <w:t>Source / limitation</w:t>
            </w:r>
          </w:p>
        </w:tc>
      </w:tr>
      <w:tr>
        <w:tc>
          <w:tcPr>
            <w:tcW w:type="dxa" w:w="2808"/>
          </w:tcPr>
          <w:p>
            <w:pPr>
              <w:spacing w:after="0"/>
            </w:pPr>
            <w:r/>
            <w:r>
              <w:rPr>
                <w:b/>
                <w:sz w:val="15"/>
              </w:rPr>
              <w:t>Participant residency</w:t>
            </w:r>
          </w:p>
        </w:tc>
        <w:tc>
          <w:tcPr>
            <w:tcW w:type="dxa" w:w="5184"/>
          </w:tcPr>
          <w:p>
            <w:pPr>
              <w:spacing w:after="0"/>
            </w:pPr>
            <w:r/>
            <w:r>
              <w:rPr>
                <w:b w:val="0"/>
                <w:sz w:val="15"/>
              </w:rPr>
              <w:t>Two-thirds of swimmers live outside Grantsmuir County; one-third are residents.</w:t>
            </w:r>
          </w:p>
        </w:tc>
        <w:tc>
          <w:tcPr>
            <w:tcW w:type="dxa" w:w="2376"/>
          </w:tcPr>
          <w:p>
            <w:pPr>
              <w:spacing w:after="0"/>
            </w:pPr>
            <w:r/>
            <w:r>
              <w:rPr>
                <w:b w:val="0"/>
                <w:sz w:val="15"/>
              </w:rPr>
              <w:t>Application statement; no roster audit.</w:t>
            </w:r>
          </w:p>
        </w:tc>
      </w:tr>
      <w:tr>
        <w:tc>
          <w:tcPr>
            <w:tcW w:type="dxa" w:w="2808"/>
          </w:tcPr>
          <w:p>
            <w:pPr>
              <w:spacing w:after="0"/>
            </w:pPr>
            <w:r/>
            <w:r>
              <w:rPr>
                <w:b/>
                <w:sz w:val="15"/>
              </w:rPr>
              <w:t>Coaching arrangement</w:t>
            </w:r>
          </w:p>
        </w:tc>
        <w:tc>
          <w:tcPr>
            <w:tcW w:type="dxa" w:w="5184"/>
          </w:tcPr>
          <w:p>
            <w:pPr>
              <w:spacing w:after="0"/>
            </w:pPr>
            <w:r/>
            <w:r>
              <w:rPr>
                <w:b w:val="0"/>
                <w:sz w:val="15"/>
              </w:rPr>
              <w:t>Coaching is billed through a for-profit business.</w:t>
            </w:r>
          </w:p>
        </w:tc>
        <w:tc>
          <w:tcPr>
            <w:tcW w:type="dxa" w:w="2376"/>
          </w:tcPr>
          <w:p>
            <w:pPr>
              <w:spacing w:after="0"/>
            </w:pPr>
            <w:r/>
            <w:r>
              <w:rPr>
                <w:b w:val="0"/>
                <w:sz w:val="15"/>
              </w:rPr>
              <w:t>Application statement; contract/invoice not reviewed.</w:t>
            </w:r>
          </w:p>
        </w:tc>
      </w:tr>
      <w:tr>
        <w:tc>
          <w:tcPr>
            <w:tcW w:type="dxa" w:w="2808"/>
          </w:tcPr>
          <w:p>
            <w:pPr>
              <w:spacing w:after="0"/>
            </w:pPr>
            <w:r/>
            <w:r>
              <w:rPr>
                <w:b/>
                <w:sz w:val="15"/>
              </w:rPr>
              <w:t>Prior communication</w:t>
            </w:r>
          </w:p>
        </w:tc>
        <w:tc>
          <w:tcPr>
            <w:tcW w:type="dxa" w:w="5184"/>
          </w:tcPr>
          <w:p>
            <w:pPr>
              <w:spacing w:after="0"/>
            </w:pPr>
            <w:r/>
            <w:r>
              <w:rPr>
                <w:b w:val="0"/>
                <w:sz w:val="15"/>
              </w:rPr>
              <w:t>Club was told informally it would receive the resident-nonprofit rate.</w:t>
            </w:r>
          </w:p>
        </w:tc>
        <w:tc>
          <w:tcPr>
            <w:tcW w:type="dxa" w:w="2376"/>
          </w:tcPr>
          <w:p>
            <w:pPr>
              <w:spacing w:after="0"/>
            </w:pPr>
            <w:r/>
            <w:r>
              <w:rPr>
                <w:b w:val="0"/>
                <w:sz w:val="15"/>
              </w:rPr>
              <w:t>Reported conversation; no written authorization.</w:t>
            </w:r>
          </w:p>
        </w:tc>
      </w:tr>
      <w:tr>
        <w:tc>
          <w:tcPr>
            <w:tcW w:type="dxa" w:w="2808"/>
          </w:tcPr>
          <w:p>
            <w:pPr>
              <w:spacing w:after="0"/>
            </w:pPr>
            <w:r/>
            <w:r>
              <w:rPr>
                <w:b/>
                <w:sz w:val="15"/>
              </w:rPr>
              <w:t>Operational need</w:t>
            </w:r>
          </w:p>
        </w:tc>
        <w:tc>
          <w:tcPr>
            <w:tcW w:type="dxa" w:w="5184"/>
          </w:tcPr>
          <w:p>
            <w:pPr>
              <w:spacing w:after="0"/>
            </w:pPr>
            <w:r/>
            <w:r>
              <w:rPr>
                <w:b w:val="0"/>
                <w:sz w:val="15"/>
              </w:rPr>
              <w:t>Decision precedes allocation of next season’s 340 pool hours.</w:t>
            </w:r>
          </w:p>
        </w:tc>
        <w:tc>
          <w:tcPr>
            <w:tcW w:type="dxa" w:w="2376"/>
          </w:tcPr>
          <w:p>
            <w:pPr>
              <w:spacing w:after="0"/>
            </w:pPr>
            <w:r/>
            <w:r>
              <w:rPr>
                <w:b w:val="0"/>
                <w:sz w:val="15"/>
              </w:rPr>
              <w:t>Request context; not proof of eligibility.</w:t>
            </w:r>
          </w:p>
        </w:tc>
      </w:tr>
    </w:tbl>
    <w:tbl>
      <w:tblPr>
        <w:tblW w:type="auto" w:w="0"/>
        <w:tblLayout w:type="fixed"/>
        <w:tblLook w:firstColumn="1" w:firstRow="1" w:lastColumn="0" w:lastRow="0" w:noHBand="0" w:noVBand="1" w:val="04A0"/>
      </w:tblPr>
      <w:tblGrid>
        <w:gridCol w:w="10368"/>
      </w:tblGrid>
      <w:tr>
        <w:tc>
          <w:tcPr>
            <w:tcW w:type="dxa" w:w="10656"/>
            <w:shd w:fill="1F4E79"/>
          </w:tcPr>
          <w:p>
            <w:pPr>
              <w:spacing w:after="0"/>
            </w:pPr>
            <w:r/>
            <w:r>
              <w:rPr>
                <w:b/>
                <w:color w:val="FFFFFF"/>
                <w:sz w:val="18"/>
              </w:rPr>
              <w:t>3. ELIGIBILITY CRITERIA AND OPERATIONAL ANALYSIS</w:t>
            </w:r>
          </w:p>
        </w:tc>
      </w:tr>
    </w:tbl>
    <w:p>
      <w:pPr>
        <w:spacing w:after="0"/>
      </w:pPr>
    </w:p>
    <w:p>
      <w:r>
        <w:rPr>
          <w:b/>
        </w:rPr>
        <w:t xml:space="preserve">Working standard. </w:t>
      </w:r>
      <w:r>
        <w:t>“Resident-nonprofit” means the use is sufficiently connected to county residents and organized/delivered for nonprofit community recreation so a subsidy aligns with its purpose. Nonprofit incorporation alone is not automatic eligibility. No local code, numeric cutoff, or state text was supplied; this is an operational judgment, not a legal opinion.</w:t>
      </w:r>
    </w:p>
    <w:p>
      <w:r>
        <w:rPr>
          <w:b/>
        </w:rPr>
        <w:t xml:space="preserve">Application. </w:t>
      </w:r>
      <w:r>
        <w:t>The non-resident majority is materially relevant: two-thirds of swimmers would receive the benefit while living outside the county, so the resident-focused subsidy is not well supported. For-profit coaching also bears on use character because a material pool-program service is commercially billed. These facts do not ban non-resident participation, prove fraud/illegality, or decide nonprofit status.</w:t>
      </w:r>
    </w:p>
    <w:p>
      <w:r>
        <w:rPr>
          <w:b/>
        </w:rPr>
        <w:t xml:space="preserve">Overall judgment. </w:t>
      </w:r>
      <w:r>
        <w:t>Considering both facts together, the use does not meet the operational standard for the resident-nonprofit subsidized rate. The informal promise is context, not conclusive proof or an irrevocable entitlement.</w:t>
      </w:r>
    </w:p>
    <w:tbl>
      <w:tblPr>
        <w:tblW w:type="auto" w:w="0"/>
        <w:tblLayout w:type="fixed"/>
        <w:tblLook w:firstColumn="1" w:firstRow="1" w:lastColumn="0" w:lastRow="0" w:noHBand="0" w:noVBand="1" w:val="04A0"/>
      </w:tblPr>
      <w:tblGrid>
        <w:gridCol w:w="10368"/>
      </w:tblGrid>
      <w:tr>
        <w:tc>
          <w:tcPr>
            <w:tcW w:type="dxa" w:w="10656"/>
            <w:shd w:fill="7F6000"/>
          </w:tcPr>
          <w:p>
            <w:pPr>
              <w:spacing w:after="0"/>
            </w:pPr>
            <w:r/>
            <w:r>
              <w:rPr>
                <w:b/>
                <w:color w:val="FFFFFF"/>
                <w:sz w:val="18"/>
              </w:rPr>
              <w:t>4. DISCLOSURE AND SCOPE BOUNDARY</w:t>
            </w:r>
          </w:p>
        </w:tc>
      </w:tr>
    </w:tbl>
    <w:p>
      <w:pPr>
        <w:spacing w:after="0"/>
      </w:pPr>
    </w:p>
    <w:p>
      <w:r>
        <w:rPr>
          <w:b/>
        </w:rPr>
        <w:t xml:space="preserve">Face-of-form disclosure — Ines Waverley coaches Marlowe Clinic, Fenmarch’s rival club. If Fenmarch is denied, Marlowe Clinic could gain lane time. </w:t>
      </w:r>
      <w:r>
        <w:t>This stake could affect actual or perceived impartiality. It is recorded for process integrity, is not an eligibility criterion, and does not itself validate or invalidate eligibility. This form flags the issue; it does not decide a separate conflict-of-interest or ethics disposition.</w:t>
      </w:r>
    </w:p>
    <w:p>
      <w:r>
        <w:rPr>
          <w:b/>
        </w:rPr>
        <w:t xml:space="preserve">Boundary: </w:t>
      </w:r>
      <w:r>
        <w:t>This records a Recreation Services rate decision only. County legal interpretation, procurement, tax, and ethics administration remain outside the recorder’s authority and are not resolved here. Non-eligibility for this subsidy does not prohibit ordinary non-subsidized pool booking.</w:t>
      </w:r>
    </w:p>
    <w:tbl>
      <w:tblPr>
        <w:tblW w:type="auto" w:w="0"/>
        <w:tblLayout w:type="fixed"/>
        <w:tblLook w:firstColumn="1" w:firstRow="1" w:lastColumn="0" w:lastRow="0" w:noHBand="0" w:noVBand="1" w:val="04A0"/>
      </w:tblPr>
      <w:tblGrid>
        <w:gridCol w:w="10368"/>
      </w:tblGrid>
      <w:tr>
        <w:tc>
          <w:tcPr>
            <w:tcW w:type="dxa" w:w="10656"/>
            <w:shd w:fill="1F4E79"/>
          </w:tcPr>
          <w:p>
            <w:pPr>
              <w:spacing w:after="0"/>
            </w:pPr>
            <w:r/>
            <w:r>
              <w:rPr>
                <w:b/>
                <w:color w:val="FFFFFF"/>
                <w:sz w:val="18"/>
              </w:rPr>
              <w:t>5. REVIEW / SIGN-OFF</w:t>
            </w:r>
          </w:p>
        </w:tc>
      </w:tr>
    </w:tbl>
    <w:p>
      <w:pPr>
        <w:spacing w:after="0"/>
      </w:pPr>
    </w:p>
    <w:tbl>
      <w:tblPr>
        <w:tblStyle w:val="TableGrid"/>
        <w:tblW w:type="auto" w:w="0"/>
        <w:jc w:val="center"/>
        <w:tblLayout w:type="fixed"/>
        <w:tblLook w:firstColumn="1" w:firstRow="1" w:lastColumn="0" w:lastRow="0" w:noHBand="0" w:noVBand="1" w:val="04A0"/>
      </w:tblPr>
      <w:tblGrid>
        <w:gridCol w:w="2448"/>
        <w:gridCol w:w="2592"/>
        <w:gridCol w:w="1872"/>
        <w:gridCol w:w="3456"/>
      </w:tblGrid>
      <w:tr>
        <w:tc>
          <w:tcPr>
            <w:tcW w:type="dxa" w:w="2664"/>
            <w:shd w:fill="1F4E79"/>
          </w:tcPr>
          <w:p>
            <w:pPr>
              <w:spacing w:after="0"/>
            </w:pPr>
            <w:r/>
            <w:r>
              <w:rPr>
                <w:b/>
                <w:color w:val="FFFFFF"/>
                <w:sz w:val="16"/>
              </w:rPr>
              <w:t>Recorded by</w:t>
            </w:r>
          </w:p>
        </w:tc>
        <w:tc>
          <w:tcPr>
            <w:tcW w:type="dxa" w:w="2664"/>
            <w:shd w:fill="1F4E79"/>
          </w:tcPr>
          <w:p>
            <w:pPr>
              <w:spacing w:after="0"/>
            </w:pPr>
            <w:r/>
            <w:r>
              <w:rPr>
                <w:b/>
                <w:color w:val="FFFFFF"/>
                <w:sz w:val="16"/>
              </w:rPr>
              <w:t>Role</w:t>
            </w:r>
          </w:p>
        </w:tc>
        <w:tc>
          <w:tcPr>
            <w:tcW w:type="dxa" w:w="2664"/>
            <w:shd w:fill="1F4E79"/>
          </w:tcPr>
          <w:p>
            <w:pPr>
              <w:spacing w:after="0"/>
            </w:pPr>
            <w:r/>
            <w:r>
              <w:rPr>
                <w:b/>
                <w:color w:val="FFFFFF"/>
                <w:sz w:val="16"/>
              </w:rPr>
              <w:t>Date</w:t>
            </w:r>
          </w:p>
        </w:tc>
        <w:tc>
          <w:tcPr>
            <w:tcW w:type="dxa" w:w="2664"/>
            <w:shd w:fill="1F4E79"/>
          </w:tcPr>
          <w:p>
            <w:pPr>
              <w:spacing w:after="0"/>
            </w:pPr>
            <w:r/>
            <w:r>
              <w:rPr>
                <w:b/>
                <w:color w:val="FFFFFF"/>
                <w:sz w:val="16"/>
              </w:rPr>
              <w:t>Evidence limits noted?</w:t>
            </w:r>
          </w:p>
        </w:tc>
      </w:tr>
      <w:tr>
        <w:tc>
          <w:tcPr>
            <w:tcW w:type="dxa" w:w="2664"/>
          </w:tcPr>
          <w:p>
            <w:pPr>
              <w:spacing w:after="0"/>
            </w:pPr>
            <w:r/>
            <w:r>
              <w:rPr>
                <w:b w:val="0"/>
                <w:sz w:val="14"/>
              </w:rPr>
              <w:t>Ines Waverley</w:t>
            </w:r>
          </w:p>
        </w:tc>
        <w:tc>
          <w:tcPr>
            <w:tcW w:type="dxa" w:w="2664"/>
          </w:tcPr>
          <w:p>
            <w:pPr>
              <w:spacing w:after="0"/>
            </w:pPr>
            <w:r/>
            <w:r>
              <w:rPr>
                <w:b w:val="0"/>
                <w:sz w:val="14"/>
              </w:rPr>
              <w:t>Recreation Services reviewer</w:t>
            </w:r>
          </w:p>
        </w:tc>
        <w:tc>
          <w:tcPr>
            <w:tcW w:type="dxa" w:w="2664"/>
          </w:tcPr>
          <w:p>
            <w:pPr>
              <w:spacing w:after="0"/>
            </w:pPr>
            <w:r/>
            <w:r>
              <w:rPr>
                <w:b w:val="0"/>
                <w:sz w:val="14"/>
              </w:rPr>
              <w:t>20 Aug 2026</w:t>
            </w:r>
          </w:p>
        </w:tc>
        <w:tc>
          <w:tcPr>
            <w:tcW w:type="dxa" w:w="2664"/>
          </w:tcPr>
          <w:p>
            <w:pPr>
              <w:spacing w:after="0"/>
            </w:pPr>
            <w:r/>
            <w:r>
              <w:rPr>
                <w:b w:val="0"/>
                <w:sz w:val="14"/>
              </w:rPr>
              <w:t>Yes — no roster audit, contract/invoice, written promise, or supplied policy text.</w:t>
            </w:r>
          </w:p>
        </w:tc>
      </w:tr>
    </w:tbl>
    <w:tbl>
      <w:tblPr>
        <w:tblW w:type="auto" w:w="0"/>
        <w:tblLayout w:type="fixed"/>
        <w:tblLook w:firstColumn="1" w:firstRow="1" w:lastColumn="0" w:lastRow="0" w:noHBand="0" w:noVBand="1" w:val="04A0"/>
      </w:tblPr>
      <w:tblGrid>
        <w:gridCol w:w="10368"/>
      </w:tblGrid>
      <w:tr>
        <w:tc>
          <w:tcPr>
            <w:tcW w:type="dxa" w:w="10656"/>
            <w:shd w:fill="1F4E79"/>
          </w:tcPr>
          <w:p>
            <w:pPr>
              <w:spacing w:after="0"/>
            </w:pPr>
            <w:r/>
            <w:r>
              <w:rPr>
                <w:b/>
                <w:color w:val="FFFFFF"/>
                <w:sz w:val="18"/>
              </w:rPr>
              <w:t>FINAL DETERMINATION</w:t>
            </w:r>
          </w:p>
        </w:tc>
      </w:tr>
    </w:tbl>
    <w:p>
      <w:pPr>
        <w:spacing w:after="0"/>
      </w:pPr>
    </w:p>
    <w:tbl>
      <w:tblPr>
        <w:tblW w:type="auto" w:w="0"/>
        <w:tblLayout w:type="fixed"/>
        <w:tblLook w:firstColumn="1" w:firstRow="1" w:lastColumn="0" w:lastRow="0" w:noHBand="0" w:noVBand="1" w:val="04A0"/>
      </w:tblPr>
      <w:tblGrid>
        <w:gridCol w:w="10368"/>
      </w:tblGrid>
      <w:tr>
        <w:tc>
          <w:tcPr>
            <w:tcW w:type="dxa" w:w="10656"/>
            <w:shd w:fill="E2F0D9"/>
          </w:tcPr>
          <w:p>
            <w:pPr>
              <w:spacing w:after="0"/>
              <w:jc w:val="center"/>
            </w:pPr>
            <w:r/>
            <w:r>
              <w:rPr>
                <w:b/>
                <w:color w:val="004E26"/>
                <w:sz w:val="21"/>
              </w:rPr>
              <w:t>NOT ELIGIBLE — Fenmarch Aquatic Club should not receive the subsidized resident-nonprofit rate for the requested 340 pool hours for next season.</w:t>
            </w:r>
          </w:p>
          <w:p>
            <w:pPr>
              <w:jc w:val="center"/>
            </w:pPr>
            <w:r>
              <w:rPr>
                <w:i/>
                <w:sz w:val="16"/>
              </w:rPr>
              <w:t>Basis: two-thirds non-resident swimmers plus for-profit coaching do not support the resident-focused nonprofit subsidy.</w:t>
            </w:r>
          </w:p>
        </w:tc>
      </w:tr>
    </w:tbl>
    <w:sectPr w:rsidR="00FC693F" w:rsidRPr="0006063C" w:rsidSect="00034616">
      <w:footerReference w:type="default" r:id="rId9"/>
      <w:pgSz w:w="12240" w:h="15840"/>
      <w:pgMar w:top="576" w:right="792" w:bottom="54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Grantsmuir County Recreation Services  •  Rate eligibility form  •  Operational finding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Waverley, Grantsmuir County Recreation Services</dc:creator>
  <cp:keywords/>
  <dc:description>generated by python-docx</dc:description>
  <cp:lastModifiedBy/>
  <cp:revision>1</cp:revision>
  <dcterms:created xsi:type="dcterms:W3CDTF">2013-12-23T23:15:00Z</dcterms:created>
  <dcterms:modified xsi:type="dcterms:W3CDTF">2013-12-23T23:15:00Z</dcterms:modified>
  <cp:category/>
</cp:coreProperties>
</file>