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Margin review observations</w:t>
      </w:r>
    </w:p>
    <w:p>
      <w:pPr>
        <w:spacing w:after="140"/>
      </w:pPr>
      <w:r>
        <w:rPr>
          <w:rFonts w:ascii="Aptos" w:hAnsi="Aptos"/>
          <w:color w:val="505F70"/>
          <w:sz w:val="20"/>
        </w:rPr>
        <w:t>Sunderly Media account-plan comparison | internal review notes | 04 September 2025</w:t>
      </w:r>
    </w:p>
    <w:p>
      <w:r>
        <w:t>The following notes were recorded while preparing the client-review materials. They identify matters to make visible in the revised comparison; they do not add quantitative source 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85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Iris Abara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Please identify the approved plan version by its effective date. The opening workbook appears to have been prepared later than the state it describes.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Elena Fournier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Ontario and Michigan should be shown side by side using the same annual plan measure, cutoff, currency, and rate convention.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Ana Ferreira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line with no current revenue should not be represented by a percentage. Please show how it is treated in the total rate and identify the limitation.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Florian Hendricks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state changes need record and event references. Notes in the ledger may matter more than the adjacent fields when they state a correction or cancellation.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Kwame Ellingsen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Keep scenario calculations visibly separate from reconciled figures. The reviewer needs to see which source inputs are absent rather than an inferred amount.</w:t>
            </w:r>
          </w:p>
        </w:tc>
      </w:tr>
    </w:tbl>
    <w:p>
      <w:pPr>
        <w:spacing w:after="20"/>
      </w:pPr>
    </w:p>
    <w:p>
      <w:pPr>
        <w:spacing w:before="100"/>
      </w:pPr>
      <w:r>
        <w:rPr>
          <w:b/>
        </w:rPr>
        <w:t xml:space="preserve">Presentation framing: </w:t>
      </w:r>
      <w:r>
        <w:t>describe observed patterns, variances, limitations, and their implications for the presentation without adding an action position or unsupported explanation.</w:t>
      </w:r>
    </w:p>
    <w:sectPr w:rsidR="00FC693F" w:rsidRPr="0006063C" w:rsidSect="00034616">
      <w:footerReference w:type="default" r:id="rId9"/>
      <w:pgSz w:w="12240" w:h="15840"/>
      <w:pgMar w:top="835" w:right="965" w:bottom="792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6"/>
      </w:rPr>
      <w:t>Internal review notes | Sunderly margin comparison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