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color w:val="1F4E79"/>
          <w:sz w:val="30"/>
        </w:rPr>
        <w:t>CRAVENHURST ENT &amp; AUDIOLOGY</w:t>
      </w:r>
    </w:p>
    <w:p>
      <w:pPr>
        <w:spacing w:after="100"/>
        <w:jc w:val="center"/>
      </w:pPr>
      <w:r>
        <w:rPr>
          <w:i/>
          <w:color w:val="595959"/>
          <w:sz w:val="20"/>
        </w:rPr>
        <w:t>Executive root-cause briefing | Outside imaging and audiogram readiness</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1440"/>
            <w:vAlign w:val="center"/>
            <w:shd w:fill="1F4E79"/>
          </w:tcPr>
          <w:p>
            <w:pPr>
              <w:spacing w:after="0"/>
            </w:pPr>
            <w:r/>
            <w:r>
              <w:rPr>
                <w:b/>
                <w:color w:val="FFFFFF"/>
                <w:sz w:val="16"/>
              </w:rPr>
              <w:t>TO</w:t>
            </w:r>
          </w:p>
        </w:tc>
        <w:tc>
          <w:tcPr>
            <w:tcW w:type="dxa" w:w="10080"/>
            <w:gridSpan w:val="3"/>
            <w:vAlign w:val="center"/>
          </w:tcPr>
          <w:p>
            <w:pPr>
              <w:spacing w:after="0"/>
            </w:pPr>
            <w:r>
              <w:rPr>
                <w:sz w:val="17"/>
              </w:rPr>
            </w:r>
            <w:r>
              <w:rPr>
                <w:b w:val="0"/>
                <w:sz w:val="17"/>
              </w:rPr>
              <w:t>Yusra Behrmann, Clinical Operations Manager</w:t>
            </w:r>
          </w:p>
        </w:tc>
      </w:tr>
      <w:tr>
        <w:tc>
          <w:tcPr>
            <w:tcW w:type="dxa" w:w="1440"/>
            <w:vAlign w:val="center"/>
            <w:shd w:fill="1F4E79"/>
          </w:tcPr>
          <w:p>
            <w:pPr>
              <w:spacing w:after="0"/>
            </w:pPr>
            <w:r/>
            <w:r>
              <w:rPr>
                <w:b/>
                <w:color w:val="FFFFFF"/>
                <w:sz w:val="16"/>
              </w:rPr>
              <w:t>FROM</w:t>
            </w:r>
          </w:p>
        </w:tc>
        <w:tc>
          <w:tcPr>
            <w:tcW w:type="dxa" w:w="10080"/>
            <w:gridSpan w:val="3"/>
            <w:vAlign w:val="center"/>
          </w:tcPr>
          <w:p>
            <w:pPr>
              <w:spacing w:after="0"/>
            </w:pPr>
            <w:r>
              <w:rPr>
                <w:sz w:val="17"/>
              </w:rPr>
            </w:r>
            <w:r>
              <w:rPr>
                <w:b w:val="0"/>
                <w:sz w:val="17"/>
              </w:rPr>
              <w:t>Marta Kilbride, Medical Secretary</w:t>
            </w:r>
          </w:p>
        </w:tc>
      </w:tr>
    </w:tbl>
    <w:p>
      <w:pPr>
        <w:spacing w:after="0"/>
      </w:pPr>
    </w:p>
    <w:p>
      <w:pPr>
        <w:spacing w:before="100" w:after="40"/>
      </w:pPr>
      <w:r>
        <w:rPr>
          <w:b/>
          <w:color w:val="1F4E79"/>
          <w:sz w:val="20"/>
        </w:rPr>
        <w:t>DECISION IN BRIEF</w:t>
      </w:r>
    </w:p>
    <w:p>
      <w:pPr>
        <w:keepLines/>
        <w:spacing w:after="60" w:line="245" w:lineRule="auto"/>
      </w:pPr>
      <w:r>
        <w:rPr>
          <w:sz w:val="18"/>
        </w:rPr>
        <w:t>About one in five new patients arrives without the outside imaging or audiogram material the visit depends on; the appointment can be burned at check-in instead of used for care. The traces available—fax confirmations, Zendesk tickets, and scheduling notes—support a process-control failure, but do not prove one cause. The most actionable lead is a request-design gap: the referral form and call script do not consistently name both the study and its associated report. A single intake control that makes both components explicit, verifies receipt before the visit, and routes exceptions to an owner should protect capacity ahead of October without claiming that every missing record will disappear.</w:t>
      </w:r>
    </w:p>
    <w:p>
      <w:pPr>
        <w:spacing w:before="100" w:after="40"/>
      </w:pPr>
      <w:r>
        <w:rPr>
          <w:b/>
          <w:color w:val="1F4E79"/>
          <w:sz w:val="20"/>
        </w:rPr>
        <w:t>WHAT IS KNOWN, ASSUMED, AND STILL UNKNOWN</w:t>
      </w:r>
    </w:p>
    <w:tbl>
      <w:tblPr>
        <w:tblW w:type="auto" w:w="0"/>
        <w:jc w:val="center"/>
        <w:tblLayout w:type="fixed"/>
        <w:tblLook w:firstColumn="1" w:firstRow="1" w:lastColumn="0" w:lastRow="0" w:noHBand="0" w:noVBand="1" w:val="04A0"/>
      </w:tblPr>
      <w:tblGrid>
        <w:gridCol w:w="1512"/>
        <w:gridCol w:w="4464"/>
        <w:gridCol w:w="5544"/>
      </w:tblGrid>
      <w:tr>
        <w:tc>
          <w:tcPr>
            <w:tcW w:type="dxa" w:w="3456"/>
            <w:shd w:fill="5B9BD5"/>
          </w:tcPr>
          <w:p>
            <w:pPr>
              <w:spacing w:after="0"/>
            </w:pPr>
            <w:r/>
            <w:r>
              <w:rPr>
                <w:b/>
                <w:color w:val="FFFFFF"/>
                <w:sz w:val="16"/>
              </w:rPr>
              <w:t>STATUS</w:t>
            </w:r>
          </w:p>
        </w:tc>
        <w:tc>
          <w:tcPr>
            <w:tcW w:type="dxa" w:w="3456"/>
            <w:shd w:fill="5B9BD5"/>
          </w:tcPr>
          <w:p>
            <w:pPr>
              <w:spacing w:after="0"/>
            </w:pPr>
            <w:r/>
            <w:r>
              <w:rPr>
                <w:b/>
                <w:color w:val="FFFFFF"/>
                <w:sz w:val="16"/>
              </w:rPr>
              <w:t>WHAT IT MEANS HERE</w:t>
            </w:r>
          </w:p>
        </w:tc>
        <w:tc>
          <w:tcPr>
            <w:tcW w:type="dxa" w:w="3456"/>
            <w:shd w:fill="5B9BD5"/>
          </w:tcPr>
          <w:p>
            <w:pPr>
              <w:spacing w:after="0"/>
            </w:pPr>
            <w:r/>
            <w:r>
              <w:rPr>
                <w:b/>
                <w:color w:val="FFFFFF"/>
                <w:sz w:val="16"/>
              </w:rPr>
              <w:t>BOUNDARY</w:t>
            </w:r>
          </w:p>
        </w:tc>
      </w:tr>
      <w:tr>
        <w:tc>
          <w:tcPr>
            <w:tcW w:type="dxa" w:w="1512"/>
            <w:shd w:fill="E2F0D9"/>
          </w:tcPr>
          <w:p>
            <w:pPr>
              <w:spacing w:after="0"/>
            </w:pPr>
            <w:r/>
            <w:r>
              <w:rPr>
                <w:b/>
                <w:sz w:val="16"/>
              </w:rPr>
              <w:t>OBSERVED</w:t>
            </w:r>
          </w:p>
        </w:tc>
        <w:tc>
          <w:tcPr>
            <w:tcW w:type="dxa" w:w="4464"/>
          </w:tcPr>
          <w:p>
            <w:pPr>
              <w:spacing w:after="0"/>
            </w:pPr>
            <w:r/>
            <w:r>
              <w:rPr>
                <w:b/>
                <w:sz w:val="16"/>
              </w:rPr>
              <w:t>Brief reports roughly 1 in 5 new patients lacks required outside imaging or an audiogram; check-in may consume the appointment. Evidence is limited to fax confirmations, Zendesk tickets, and scheduling notes.</w:t>
            </w:r>
          </w:p>
        </w:tc>
        <w:tc>
          <w:tcPr>
            <w:tcW w:type="dxa" w:w="5544"/>
          </w:tcPr>
          <w:p>
            <w:pPr>
              <w:spacing w:after="0"/>
            </w:pPr>
            <w:r/>
            <w:r>
              <w:rPr>
                <w:b/>
                <w:sz w:val="16"/>
              </w:rPr>
              <w:t>No clean denominator, date range, cause count, or patient-level facts were supplied.</w:t>
            </w:r>
          </w:p>
        </w:tc>
      </w:tr>
      <w:tr>
        <w:tc>
          <w:tcPr>
            <w:tcW w:type="dxa" w:w="1512"/>
            <w:shd w:fill="FFF2CC"/>
          </w:tcPr>
          <w:p>
            <w:pPr>
              <w:spacing w:after="0"/>
            </w:pPr>
            <w:r/>
            <w:r>
              <w:rPr>
                <w:b/>
                <w:sz w:val="16"/>
              </w:rPr>
              <w:t>ASSUMPTION FOR PROJECTION</w:t>
            </w:r>
          </w:p>
        </w:tc>
        <w:tc>
          <w:tcPr>
            <w:tcW w:type="dxa" w:w="4464"/>
          </w:tcPr>
          <w:p>
            <w:pPr>
              <w:spacing w:after="0"/>
            </w:pPr>
            <w:r/>
            <w:r>
              <w:rPr>
                <w:b/>
                <w:sz w:val="16"/>
              </w:rPr>
              <w:t>The current mix and arrival pattern remain broadly similar through September; “ready” means the correct study and report are received, legible, matched to the record, and available to the clinician.</w:t>
            </w:r>
          </w:p>
        </w:tc>
        <w:tc>
          <w:tcPr>
            <w:tcW w:type="dxa" w:w="5544"/>
          </w:tcPr>
          <w:p>
            <w:pPr>
              <w:spacing w:after="0"/>
            </w:pPr>
            <w:r/>
            <w:r>
              <w:rPr>
                <w:b/>
                <w:sz w:val="16"/>
              </w:rPr>
              <w:t>This is a planning scenario, not a measured forecast.</w:t>
            </w:r>
          </w:p>
        </w:tc>
      </w:tr>
      <w:tr>
        <w:tc>
          <w:tcPr>
            <w:tcW w:type="dxa" w:w="1512"/>
            <w:shd w:fill="FCE4D6"/>
          </w:tcPr>
          <w:p>
            <w:pPr>
              <w:spacing w:after="0"/>
            </w:pPr>
            <w:r/>
            <w:r>
              <w:rPr>
                <w:b w:val="0"/>
                <w:sz w:val="16"/>
              </w:rPr>
              <w:t>UNKNOWN</w:t>
            </w:r>
          </w:p>
        </w:tc>
        <w:tc>
          <w:tcPr>
            <w:tcW w:type="dxa" w:w="4464"/>
          </w:tcPr>
          <w:p>
            <w:pPr>
              <w:spacing w:after="0"/>
            </w:pPr>
            <w:r/>
            <w:r>
              <w:rPr>
                <w:b w:val="0"/>
                <w:sz w:val="16"/>
              </w:rPr>
              <w:t>Whether the gap is concentrated in a few referring offices; whether the spring edit changed frequency; whether faxes reached the current number; and how often an image arrived without its report.</w:t>
            </w:r>
          </w:p>
        </w:tc>
        <w:tc>
          <w:tcPr>
            <w:tcW w:type="dxa" w:w="5544"/>
          </w:tcPr>
          <w:p>
            <w:pPr>
              <w:spacing w:after="0"/>
            </w:pPr>
            <w:r/>
            <w:r>
              <w:rPr>
                <w:b w:val="0"/>
                <w:sz w:val="16"/>
              </w:rPr>
              <w:t>These unknowns limit causal certainty and require trace-level checks.</w:t>
            </w:r>
          </w:p>
        </w:tc>
      </w:tr>
    </w:tbl>
    <w:p>
      <w:pPr>
        <w:spacing w:before="100" w:after="40"/>
      </w:pPr>
      <w:r>
        <w:rPr>
          <w:b/>
          <w:color w:val="1F4E79"/>
          <w:sz w:val="20"/>
        </w:rPr>
        <w:t>EVIDENCE AND COMPETING EXPLANATIONS</w:t>
      </w:r>
    </w:p>
    <w:p>
      <w:pPr>
        <w:keepLines/>
        <w:spacing w:after="60" w:line="245" w:lineRule="auto"/>
      </w:pPr>
      <w:r>
        <w:rPr>
          <w:sz w:val="18"/>
        </w:rPr>
        <w:t>The traces should be read as a chronology and coverage test, not as a causal dataset. A repeated pattern across later tickets and notes would strengthen a persistent intake-design problem; a sharp change immediately after a template version would instead point to the reminder. A fax confirmation proves an attempt or transmission record, not that a usable, correctly matched document reached the chart.</w:t>
      </w:r>
    </w:p>
    <w:tbl>
      <w:tblPr>
        <w:tblW w:type="auto" w:w="0"/>
        <w:jc w:val="center"/>
        <w:tblLayout w:type="fixed"/>
        <w:tblLook w:firstColumn="1" w:firstRow="1" w:lastColumn="0" w:lastRow="0" w:noHBand="0" w:noVBand="1" w:val="04A0"/>
      </w:tblPr>
      <w:tblGrid>
        <w:gridCol w:w="2880"/>
        <w:gridCol w:w="4680"/>
        <w:gridCol w:w="3960"/>
      </w:tblGrid>
      <w:tr>
        <w:tc>
          <w:tcPr>
            <w:tcW w:type="dxa" w:w="3456"/>
            <w:shd w:fill="5B9BD5"/>
          </w:tcPr>
          <w:p>
            <w:pPr>
              <w:spacing w:after="0"/>
            </w:pPr>
            <w:r/>
            <w:r>
              <w:rPr>
                <w:b/>
                <w:color w:val="FFFFFF"/>
                <w:sz w:val="16"/>
              </w:rPr>
              <w:t>HYPOTHESIS</w:t>
            </w:r>
          </w:p>
        </w:tc>
        <w:tc>
          <w:tcPr>
            <w:tcW w:type="dxa" w:w="3456"/>
            <w:shd w:fill="5B9BD5"/>
          </w:tcPr>
          <w:p>
            <w:pPr>
              <w:spacing w:after="0"/>
            </w:pPr>
            <w:r/>
            <w:r>
              <w:rPr>
                <w:b/>
                <w:color w:val="FFFFFF"/>
                <w:sz w:val="16"/>
              </w:rPr>
              <w:t>MECHANISM / WHAT TO LOOK FOR</w:t>
            </w:r>
          </w:p>
        </w:tc>
        <w:tc>
          <w:tcPr>
            <w:tcW w:type="dxa" w:w="3456"/>
            <w:shd w:fill="5B9BD5"/>
          </w:tcPr>
          <w:p>
            <w:pPr>
              <w:spacing w:after="0"/>
            </w:pPr>
            <w:r/>
            <w:r>
              <w:rPr>
                <w:b/>
                <w:color w:val="FFFFFF"/>
                <w:sz w:val="16"/>
              </w:rPr>
              <w:t>CURRENT WEIGHT</w:t>
            </w:r>
          </w:p>
        </w:tc>
      </w:tr>
      <w:tr>
        <w:tc>
          <w:tcPr>
            <w:tcW w:type="dxa" w:w="2880"/>
          </w:tcPr>
          <w:p>
            <w:pPr>
              <w:spacing w:after="0"/>
            </w:pPr>
            <w:r/>
            <w:r>
              <w:rPr>
                <w:b w:val="0"/>
                <w:sz w:val="16"/>
              </w:rPr>
              <w:t>Referral fax form has no records field</w:t>
            </w:r>
          </w:p>
        </w:tc>
        <w:tc>
          <w:tcPr>
            <w:tcW w:type="dxa" w:w="4680"/>
          </w:tcPr>
          <w:p>
            <w:pPr>
              <w:spacing w:after="0"/>
            </w:pPr>
            <w:r/>
            <w:r>
              <w:rPr>
                <w:b w:val="0"/>
                <w:sz w:val="16"/>
              </w:rPr>
              <w:t>An upstream omission: referring staff may send the referral but not know which outside material is required. Compare form versions and ticket language; check whether missing-record cases recur across offices using the same form.</w:t>
            </w:r>
          </w:p>
        </w:tc>
        <w:tc>
          <w:tcPr>
            <w:tcW w:type="dxa" w:w="3960"/>
          </w:tcPr>
          <w:p>
            <w:pPr>
              <w:spacing w:after="0"/>
            </w:pPr>
            <w:r/>
            <w:r>
              <w:rPr>
                <w:b w:val="0"/>
                <w:sz w:val="16"/>
              </w:rPr>
              <w:t>Plausible, broad coverage; explains request failure, not a confirmed routing loss.</w:t>
            </w:r>
          </w:p>
        </w:tc>
      </w:tr>
      <w:tr>
        <w:tc>
          <w:tcPr>
            <w:tcW w:type="dxa" w:w="2880"/>
            <w:shd w:fill="D9EAF7"/>
          </w:tcPr>
          <w:p>
            <w:pPr>
              <w:spacing w:after="0"/>
            </w:pPr>
            <w:r/>
            <w:r>
              <w:rPr>
                <w:b w:val="0"/>
                <w:sz w:val="16"/>
              </w:rPr>
              <w:t>Script asks for imaging, not the report</w:t>
            </w:r>
          </w:p>
        </w:tc>
        <w:tc>
          <w:tcPr>
            <w:tcW w:type="dxa" w:w="4680"/>
          </w:tcPr>
          <w:p>
            <w:pPr>
              <w:spacing w:after="0"/>
            </w:pPr>
            <w:r/>
            <w:r>
              <w:rPr>
                <w:b w:val="0"/>
                <w:sz w:val="16"/>
              </w:rPr>
              <w:t>Distinct content failure: an image and its radiology/audiology report are not interchangeable. Look for notes saying “imaging received” while the report is absent, and compare call wording with later tickets.</w:t>
            </w:r>
          </w:p>
        </w:tc>
        <w:tc>
          <w:tcPr>
            <w:tcW w:type="dxa" w:w="3960"/>
          </w:tcPr>
          <w:p>
            <w:pPr>
              <w:spacing w:after="0"/>
            </w:pPr>
            <w:r/>
            <w:r>
              <w:rPr>
                <w:b w:val="0"/>
                <w:sz w:val="16"/>
              </w:rPr>
              <w:t>Strong actionable lead if that pattern repeats.</w:t>
            </w:r>
          </w:p>
        </w:tc>
      </w:tr>
      <w:tr>
        <w:tc>
          <w:tcPr>
            <w:tcW w:type="dxa" w:w="2880"/>
          </w:tcPr>
          <w:p>
            <w:pPr>
              <w:spacing w:after="0"/>
            </w:pPr>
            <w:r/>
            <w:r>
              <w:rPr>
                <w:b w:val="0"/>
                <w:sz w:val="16"/>
              </w:rPr>
              <w:t>Spring reminder-template edit dropped the line</w:t>
            </w:r>
          </w:p>
        </w:tc>
        <w:tc>
          <w:tcPr>
            <w:tcW w:type="dxa" w:w="4680"/>
          </w:tcPr>
          <w:p>
            <w:pPr>
              <w:spacing w:after="0"/>
            </w:pPr>
            <w:r/>
            <w:r>
              <w:rPr>
                <w:b w:val="0"/>
                <w:sz w:val="16"/>
              </w:rPr>
              <w:t>Time-bounded explanation. Align the template-change date with the first sustained rise in tickets/notes and compare pre/post wording.</w:t>
            </w:r>
          </w:p>
        </w:tc>
        <w:tc>
          <w:tcPr>
            <w:tcW w:type="dxa" w:w="3960"/>
          </w:tcPr>
          <w:p>
            <w:pPr>
              <w:spacing w:after="0"/>
            </w:pPr>
            <w:r/>
            <w:r>
              <w:rPr>
                <w:b w:val="0"/>
                <w:sz w:val="16"/>
              </w:rPr>
              <w:t>Could explain a step-change; weak if missing records predate the edit or persist unchanged.</w:t>
            </w:r>
          </w:p>
        </w:tc>
      </w:tr>
      <w:tr>
        <w:tc>
          <w:tcPr>
            <w:tcW w:type="dxa" w:w="2880"/>
          </w:tcPr>
          <w:p>
            <w:pPr>
              <w:spacing w:after="0"/>
            </w:pPr>
            <w:r/>
            <w:r>
              <w:rPr>
                <w:b w:val="0"/>
                <w:sz w:val="16"/>
              </w:rPr>
              <w:t>Intake fax number changed without notice</w:t>
            </w:r>
          </w:p>
        </w:tc>
        <w:tc>
          <w:tcPr>
            <w:tcW w:type="dxa" w:w="4680"/>
          </w:tcPr>
          <w:p>
            <w:pPr>
              <w:spacing w:after="0"/>
            </w:pPr>
            <w:r/>
            <w:r>
              <w:rPr>
                <w:b w:val="0"/>
                <w:sz w:val="16"/>
              </w:rPr>
              <w:t>Transmission/routing failure affecting offices differently from internal scripts. Match confirmations and failures to old/new destinations and test whether a sender’s confirmation lacks a corresponding receipt.</w:t>
            </w:r>
          </w:p>
        </w:tc>
        <w:tc>
          <w:tcPr>
            <w:tcW w:type="dxa" w:w="3960"/>
          </w:tcPr>
          <w:p>
            <w:pPr>
              <w:spacing w:after="0"/>
            </w:pPr>
            <w:r/>
            <w:r>
              <w:rPr>
                <w:b w:val="0"/>
                <w:sz w:val="16"/>
              </w:rPr>
              <w:t>Strong only where routing evidence clusters; does not explain a complete report being omitted after successful receipt.</w:t>
            </w:r>
          </w:p>
        </w:tc>
      </w:tr>
    </w:tbl>
    <w:p>
      <w:pPr>
        <w:keepLines/>
        <w:spacing w:after="60" w:line="245" w:lineRule="auto"/>
      </w:pPr>
      <w:r>
        <w:rPr>
          <w:sz w:val="18"/>
        </w:rPr>
        <w:t>Leading explanation (bounded): the missing-report/request-language gap is the best operational lead, possibly amplified by the spring reminder edit. It fits the distinction between transmission and content failure and can persist across repeated notes. It remains an inference: a clean comparison of form/script versions, timestamps, sender office, destination number, and received components could confirm it. It would be weakened if most cases show no delivery to the new fax number, or if reports are routinely requested and still absent despite verified routing.</w:t>
      </w:r>
    </w:p>
    <w:p>
      <w:pPr>
        <w:spacing w:before="100" w:after="40"/>
      </w:pPr>
      <w:r>
        <w:rPr>
          <w:b/>
          <w:color w:val="1F4E79"/>
          <w:sz w:val="20"/>
        </w:rPr>
        <w:t>IMPLICATION BEFORE OCTOBER (CONDITIONAL)</w:t>
      </w:r>
    </w:p>
    <w:p>
      <w:pPr>
        <w:keepLines/>
        <w:spacing w:after="60" w:line="245" w:lineRule="auto"/>
      </w:pPr>
      <w:r>
        <w:rPr>
          <w:sz w:val="18"/>
        </w:rPr>
        <w:t>If the assumption above holds, leaving the pathway unchanged means the same approximate one-in-five exposure will meet a larger provider schedule: more check-in rework, avoidable delays, and less usable appointment capacity. If the spring edit or a routing defect is the dominant mechanism, the effect will be concentrated after its change date or among particular offices; the proposed control still detects the missing component early, but will not by itself repair an external number or guarantee response. No exact visit count, savings, or provider-capacity claim is supportable from the supplied traces.</w:t>
      </w:r>
    </w:p>
    <w:p>
      <w:pPr>
        <w:spacing w:before="100" w:after="40"/>
      </w:pPr>
      <w:r>
        <w:rPr>
          <w:b/>
          <w:color w:val="1F4E79"/>
          <w:sz w:val="20"/>
        </w:rPr>
        <w:t>ONE RECOMMENDED CHANGE: A PRE-VISIT RECORDS-READINESS GATE</w:t>
      </w:r>
    </w:p>
    <w:p>
      <w:pPr>
        <w:keepLines/>
        <w:spacing w:after="60" w:line="245" w:lineRule="auto"/>
      </w:pPr>
      <w:r>
        <w:rPr>
          <w:sz w:val="18"/>
        </w:rPr>
        <w:t>Approve one accountable change: the Clinical Operations Manager (Yusra Behrmann) owns a standard “records readiness” gate in the intake pathway, live before the October provider expansion. The gate uses one plain-language request to internal schedulers and referring offices: identify the required study (imaging or audiogram) and the associated report, send through the verified intake route, and document source plus receipt date/time. A records coordinator (or named scheduling delegate) checks the gate before the appointment is protected for provider use; status is recorded as ready, missing, or unusable.</w:t>
      </w:r>
    </w:p>
    <w:p>
      <w:pPr>
        <w:keepLines/>
        <w:spacing w:after="60" w:line="245" w:lineRule="auto"/>
      </w:pPr>
      <w:r>
        <w:rPr>
          <w:sz w:val="18"/>
        </w:rPr>
        <w:t>“Ready” is more than “fax sent”: verify minimum-necessary patient matching (for example, name and date of birth or medical-record number), legibility, correct source, and that both image/study and report are present when required. An unreadable, mismatched, or incomplete item is marked unusable, assigned to the records coordinator for a documented recovery request, and kept attached to the appointment rather than silently discarded. This gives referring offices a respectful path to supply material and preserves Yusra’s service promise: referrals are not rejected for missing records, but incomplete material is never represented as clinically ready.</w:t>
      </w:r>
    </w:p>
    <w:p>
      <w:pPr>
        <w:keepLines/>
        <w:spacing w:after="60" w:line="245" w:lineRule="auto"/>
      </w:pPr>
      <w:r>
        <w:rPr>
          <w:sz w:val="18"/>
        </w:rPr>
        <w:t>A potentially urgent finding in outside material is a separate safety exception. Administrative staff must not interpret the image or decide urgency; they should flag the concern and route it promptly to the responsible clinician or established clinical escalation owner. Routine missing-record reminders must never delay that review.</w:t>
      </w:r>
    </w:p>
    <w:p>
      <w:pPr>
        <w:keepLines/>
        <w:spacing w:after="60" w:line="245" w:lineRule="auto"/>
      </w:pPr>
      <w:r>
        <w:rPr>
          <w:sz w:val="18"/>
        </w:rPr>
        <w:t>Measure success as a before/after trend: among new-patient appointments requiring outside material, track the share marked ready (both components, matched and usable) by the defined pre-visit checkpoint, using the same definition for a baseline period before the gate and each period after launch. Review alongside repeat requests, delayed or unused appointments, and office-level patterns so an apparent improvement does not hide extra burden or delayed care. This target is a proposed management measure, not an observed rate. Residual risks include nonresponse, wrong routing, and clinically important material arriving too late; the gate cannot eliminate them.</w:t>
      </w:r>
    </w:p>
    <w:p>
      <w:pPr>
        <w:spacing w:before="100" w:after="40"/>
      </w:pPr>
      <w:r>
        <w:rPr>
          <w:b/>
          <w:color w:val="1F4E79"/>
          <w:sz w:val="20"/>
        </w:rPr>
        <w:t>DECISION</w:t>
      </w:r>
    </w:p>
    <w:p>
      <w:pPr>
        <w:keepLines/>
        <w:spacing w:after="60" w:line="245" w:lineRule="auto"/>
      </w:pPr>
      <w:r>
        <w:rPr>
          <w:sz w:val="18"/>
        </w:rPr>
        <w:t>Yusra should authorize the single pre-visit records-readiness gate, with herself as accountable owner and the records coordinator as operational owner, for launch before October. This is the decision: make required study plus report, verified receipt, and safe exception routing the one standard intake control.</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5"/>
      </w:rPr>
      <w:t>Cravenhurst ENT &amp; Audiology • Internal operations briefing • Minimum necessary information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