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F5597"/>
          <w:sz w:val="20"/>
        </w:rPr>
        <w:t>CHAT QUALITY REVIEW</w:t>
      </w:r>
    </w:p>
    <w:p>
      <w:pPr>
        <w:pStyle w:val="Title"/>
      </w:pPr>
      <w:r>
        <w:t>Quillhaven collection-chat review pack</w:t>
      </w:r>
    </w:p>
    <w:p>
      <w:r>
        <w:rPr>
          <w:color w:val="595959"/>
          <w:sz w:val="21"/>
        </w:rPr>
        <w:t>Prepared for Joaquin Rivenburgh  |  QA lead: Ilse Rasmussen  |  Vendor: Orrindale Field Services</w:t>
      </w:r>
    </w:p>
    <w:tbl>
      <w:tblPr>
        <w:tblW w:type="auto" w:w="0"/>
        <w:jc w:val="center"/>
        <w:tblLayout w:type="fixed"/>
        <w:tblLook w:firstColumn="1" w:firstRow="1" w:lastColumn="0" w:lastRow="0" w:noHBand="0" w:noVBand="1" w:val="04A0"/>
      </w:tblPr>
      <w:tblGrid>
        <w:gridCol w:w="10224"/>
      </w:tblGrid>
      <w:tr>
        <w:tc>
          <w:tcPr>
            <w:tcW w:type="dxa" w:w="10368"/>
            <w:shd w:fill="EAF2F8"/>
            <w:tcMar>
              <w:top w:w="80" w:type="dxa"/>
              <w:start w:w="100" w:type="dxa"/>
              <w:bottom w:w="80" w:type="dxa"/>
              <w:end w:w="100" w:type="dxa"/>
            </w:tcMar>
          </w:tcPr>
          <w:p>
            <w:pPr>
              <w:spacing w:after="20"/>
            </w:pPr>
            <w:r/>
            <w:r>
              <w:rPr>
                <w:rFonts w:ascii="Aptos" w:hAnsi="Aptos"/>
                <w:b w:val="0"/>
                <w:sz w:val="18"/>
              </w:rPr>
              <w:t>SCOPE  •  U.S. federal Fair Debt Collection Practices Act (FDCPA), as of June 30, 2024.</w:t>
              <w:br/>
              <w:t>Evidence  •  Four retained excerpts from a 40-chat first sample. This pack makes no claim about the other 36 chats.</w:t>
              <w:br/>
              <w:t>Use  •  Findings and paste-ready coaching language; no discipline, account disposition, state-law, or litigation-strategy advice.</w:t>
            </w:r>
          </w:p>
        </w:tc>
      </w:tr>
    </w:tbl>
    <w:p>
      <w:pPr>
        <w:pStyle w:val="Heading1"/>
      </w:pPr>
      <w:r>
        <w:t>How to read each review</w:t>
      </w:r>
    </w:p>
    <w:p>
      <w:r>
        <w:t>SOURCE is the retained transcript language. FINDING states what is wrong and why. PROVISION names the controlling FDCPA subsection. REWRITE is a realistic customer-facing sentence for the same moment. “Not determinable” is used when the record does not supply a required fact.</w:t>
      </w:r>
    </w:p>
    <w:p>
      <w:r>
        <w:br w:type="page"/>
      </w:r>
    </w:p>
    <w:p>
      <w:pPr>
        <w:pStyle w:val="Heading1"/>
      </w:pPr>
      <w:r>
        <w:t>01  |  QTC-07 — represented consumer</w:t>
      </w:r>
    </w:p>
    <w:tbl>
      <w:tblPr>
        <w:tblW w:type="auto" w:w="0"/>
        <w:jc w:val="center"/>
        <w:tblLayout w:type="fixed"/>
        <w:tblLook w:firstColumn="1" w:firstRow="1" w:lastColumn="0" w:lastRow="0" w:noHBand="0" w:noVBand="1" w:val="04A0"/>
      </w:tblPr>
      <w:tblGrid>
        <w:gridCol w:w="1656"/>
        <w:gridCol w:w="8568"/>
      </w:tblGrid>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SOURCE</w:t>
            </w:r>
          </w:p>
        </w:tc>
        <w:tc>
          <w:tcPr>
            <w:tcW w:type="dxa" w:w="8568"/>
            <w:tcMar>
              <w:top w:w="80" w:type="dxa"/>
              <w:start w:w="100" w:type="dxa"/>
              <w:bottom w:w="80" w:type="dxa"/>
              <w:end w:w="100" w:type="dxa"/>
            </w:tcMar>
            <w:vAlign w:val="top"/>
          </w:tcPr>
          <w:p>
            <w:pPr>
              <w:spacing w:after="20"/>
            </w:pPr>
            <w:r/>
            <w:r>
              <w:rPr>
                <w:rFonts w:ascii="Aptos" w:hAnsi="Aptos"/>
                <w:b w:val="0"/>
                <w:sz w:val="18"/>
              </w:rPr>
              <w:t>QTC-07, line 18 (customer): “My lawyer, Amara Sheridan, handles this Quillhaven account; you already have her email.”</w:t>
              <w:br/>
              <w:t>Agent line 19: “You still need to deal with me; I won’t contact your lawyer, so what can you pay today?”</w:t>
            </w:r>
          </w:p>
        </w:tc>
      </w:tr>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FINDING</w:t>
            </w:r>
          </w:p>
        </w:tc>
        <w:tc>
          <w:tcPr>
            <w:tcW w:type="dxa" w:w="8568"/>
            <w:tcMar>
              <w:top w:w="80" w:type="dxa"/>
              <w:start w:w="100" w:type="dxa"/>
              <w:bottom w:w="80" w:type="dxa"/>
              <w:end w:w="100" w:type="dxa"/>
            </w:tcMar>
            <w:vAlign w:val="top"/>
          </w:tcPr>
          <w:p>
            <w:pPr>
              <w:spacing w:after="20"/>
            </w:pPr>
            <w:r/>
            <w:r>
              <w:rPr>
                <w:rFonts w:ascii="Aptos" w:hAnsi="Aptos"/>
                <w:b w:val="0"/>
                <w:sz w:val="18"/>
              </w:rPr>
              <w:t>The agent continued a direct payment solicitation after being told that an attorney handles this specific Quillhaven debt and that contact information is already available. That is the represented-consumer situation addressed by the FDCPA; the line also dismisses the attorney rather than routing communication appropriately.</w:t>
            </w:r>
          </w:p>
        </w:tc>
      </w:tr>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PROVISION</w:t>
            </w:r>
          </w:p>
        </w:tc>
        <w:tc>
          <w:tcPr>
            <w:tcW w:type="dxa" w:w="8568"/>
            <w:tcMar>
              <w:top w:w="80" w:type="dxa"/>
              <w:start w:w="100" w:type="dxa"/>
              <w:bottom w:w="80" w:type="dxa"/>
              <w:end w:w="100" w:type="dxa"/>
            </w:tcMar>
            <w:vAlign w:val="top"/>
          </w:tcPr>
          <w:p>
            <w:pPr>
              <w:spacing w:after="20"/>
            </w:pPr>
            <w:r/>
            <w:r>
              <w:rPr>
                <w:rFonts w:ascii="Aptos" w:hAnsi="Aptos"/>
                <w:b w:val="0"/>
                <w:sz w:val="18"/>
              </w:rPr>
              <w:t>15 U.S.C. § 1692c(a)(2) (FDCPA § 805(a)(2)): once the collector knows the consumer is represented by an attorney concerning the debt and can readily ascertain the attorney’s contact information, direct communication with the consumer is generally barred. Exceptions include the attorney’s consent, the attorney’s failure to respond within a reasonable period, or prior court permission.</w:t>
            </w:r>
          </w:p>
        </w:tc>
      </w:tr>
      <w:tr>
        <w:tc>
          <w:tcPr>
            <w:tcW w:type="dxa" w:w="1656"/>
            <w:shd w:fill="DDEBF7"/>
            <w:tcMar>
              <w:top w:w="80" w:type="dxa"/>
              <w:start w:w="100" w:type="dxa"/>
              <w:bottom w:w="80" w:type="dxa"/>
              <w:end w:w="100" w:type="dxa"/>
            </w:tcMar>
            <w:vAlign w:val="top"/>
          </w:tcPr>
          <w:p>
            <w:pPr>
              <w:spacing w:after="20"/>
            </w:pPr>
            <w:r/>
            <w:r>
              <w:rPr>
                <w:rFonts w:ascii="Aptos" w:hAnsi="Aptos"/>
                <w:b/>
                <w:color w:val="17365D"/>
                <w:sz w:val="17"/>
              </w:rPr>
              <w:t>REWRITE</w:t>
            </w:r>
          </w:p>
        </w:tc>
        <w:tc>
          <w:tcPr>
            <w:tcW w:type="dxa" w:w="8568"/>
            <w:tcMar>
              <w:top w:w="80" w:type="dxa"/>
              <w:start w:w="100" w:type="dxa"/>
              <w:bottom w:w="80" w:type="dxa"/>
              <w:end w:w="100" w:type="dxa"/>
            </w:tcMar>
            <w:vAlign w:val="top"/>
          </w:tcPr>
          <w:p>
            <w:pPr>
              <w:spacing w:after="20"/>
            </w:pPr>
            <w:r/>
            <w:r>
              <w:rPr>
                <w:rFonts w:ascii="Aptos" w:hAnsi="Aptos"/>
                <w:b w:val="0"/>
                <w:sz w:val="18"/>
              </w:rPr>
              <w:t>“Thank you for letting me know. I’ll direct account communications to Amara Sheridan using the contact information on file.”</w:t>
            </w:r>
          </w:p>
        </w:tc>
      </w:tr>
    </w:tbl>
    <w:p>
      <w:pPr>
        <w:ind w:left="216"/>
      </w:pPr>
      <w:r>
        <w:rPr>
          <w:b/>
          <w:color w:val="2F5597"/>
        </w:rPr>
        <w:t xml:space="preserve">COACHING NOTE  </w:t>
      </w:r>
      <w:r>
        <w:t>Do not turn every mention of a lawyer into a permanent, account-wide close-out. Confirm whether the representation concerns this debt, whether the collector knows or can readily ascertain contact information, and whether a statutory exception applies. The FDCPA restriction does not itself close or extinguish the account.</w:t>
      </w:r>
    </w:p>
    <w:p>
      <w:r>
        <w:br w:type="page"/>
      </w:r>
    </w:p>
    <w:p>
      <w:pPr>
        <w:pStyle w:val="Heading1"/>
      </w:pPr>
      <w:r>
        <w:t>02  |  QTC-12 — unverified third party</w:t>
      </w:r>
    </w:p>
    <w:tbl>
      <w:tblPr>
        <w:tblW w:type="auto" w:w="0"/>
        <w:jc w:val="center"/>
        <w:tblLayout w:type="fixed"/>
        <w:tblLook w:firstColumn="1" w:firstRow="1" w:lastColumn="0" w:lastRow="0" w:noHBand="0" w:noVBand="1" w:val="04A0"/>
      </w:tblPr>
      <w:tblGrid>
        <w:gridCol w:w="1656"/>
        <w:gridCol w:w="8568"/>
      </w:tblGrid>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SOURCE</w:t>
            </w:r>
          </w:p>
        </w:tc>
        <w:tc>
          <w:tcPr>
            <w:tcW w:type="dxa" w:w="8568"/>
            <w:tcMar>
              <w:top w:w="80" w:type="dxa"/>
              <w:start w:w="100" w:type="dxa"/>
              <w:bottom w:w="80" w:type="dxa"/>
              <w:end w:w="100" w:type="dxa"/>
            </w:tcMar>
            <w:vAlign w:val="top"/>
          </w:tcPr>
          <w:p>
            <w:pPr>
              <w:spacing w:after="20"/>
            </w:pPr>
            <w:r/>
            <w:r>
              <w:rPr>
                <w:rFonts w:ascii="Aptos" w:hAnsi="Aptos"/>
                <w:b w:val="0"/>
                <w:sz w:val="18"/>
              </w:rPr>
              <w:t>QTC-12, line 6 (visitor): “I’m Darius; Renata left the chat open.”</w:t>
              <w:br/>
              <w:t>Agent line 7: “She owes $4,820 and is 73 days late. Can you make her payment?”</w:t>
            </w:r>
          </w:p>
        </w:tc>
      </w:tr>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FINDING</w:t>
            </w:r>
          </w:p>
        </w:tc>
        <w:tc>
          <w:tcPr>
            <w:tcW w:type="dxa" w:w="8568"/>
            <w:tcMar>
              <w:top w:w="80" w:type="dxa"/>
              <w:start w:w="100" w:type="dxa"/>
              <w:bottom w:w="80" w:type="dxa"/>
              <w:end w:w="100" w:type="dxa"/>
            </w:tcMar>
            <w:vAlign w:val="top"/>
          </w:tcPr>
          <w:p>
            <w:pPr>
              <w:spacing w:after="20"/>
            </w:pPr>
            <w:r/>
            <w:r>
              <w:rPr>
                <w:rFonts w:ascii="Aptos" w:hAnsi="Aptos"/>
                <w:b w:val="0"/>
                <w:sz w:val="18"/>
              </w:rPr>
              <w:t>The person at the keyboard identified himself as someone other than Renata. The agent then disclosed the account’s existence, balance, and delinquency and asked Darius to pay. A chat left open does not authenticate the replacement user or authorize debt disclosure.</w:t>
            </w:r>
          </w:p>
        </w:tc>
      </w:tr>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PROVISION</w:t>
            </w:r>
          </w:p>
        </w:tc>
        <w:tc>
          <w:tcPr>
            <w:tcW w:type="dxa" w:w="8568"/>
            <w:tcMar>
              <w:top w:w="80" w:type="dxa"/>
              <w:start w:w="100" w:type="dxa"/>
              <w:bottom w:w="80" w:type="dxa"/>
              <w:end w:w="100" w:type="dxa"/>
            </w:tcMar>
            <w:vAlign w:val="top"/>
          </w:tcPr>
          <w:p>
            <w:pPr>
              <w:spacing w:after="20"/>
            </w:pPr>
            <w:r/>
            <w:r>
              <w:rPr>
                <w:rFonts w:ascii="Aptos" w:hAnsi="Aptos"/>
                <w:b w:val="0"/>
                <w:sz w:val="18"/>
              </w:rPr>
              <w:t>15 U.S.C. § 1692c(b) (FDCPA § 805(b)): a debt collector generally may not communicate with a third party in connection with collecting a debt unless a statutory permission applies. The balance and days past due are protected collection details.</w:t>
            </w:r>
          </w:p>
        </w:tc>
      </w:tr>
      <w:tr>
        <w:tc>
          <w:tcPr>
            <w:tcW w:type="dxa" w:w="1656"/>
            <w:shd w:fill="DDEBF7"/>
            <w:tcMar>
              <w:top w:w="80" w:type="dxa"/>
              <w:start w:w="100" w:type="dxa"/>
              <w:bottom w:w="80" w:type="dxa"/>
              <w:end w:w="100" w:type="dxa"/>
            </w:tcMar>
            <w:vAlign w:val="top"/>
          </w:tcPr>
          <w:p>
            <w:pPr>
              <w:spacing w:after="20"/>
            </w:pPr>
            <w:r/>
            <w:r>
              <w:rPr>
                <w:rFonts w:ascii="Aptos" w:hAnsi="Aptos"/>
                <w:b/>
                <w:color w:val="17365D"/>
                <w:sz w:val="17"/>
              </w:rPr>
              <w:t>REWRITE</w:t>
            </w:r>
          </w:p>
        </w:tc>
        <w:tc>
          <w:tcPr>
            <w:tcW w:type="dxa" w:w="8568"/>
            <w:tcMar>
              <w:top w:w="80" w:type="dxa"/>
              <w:start w:w="100" w:type="dxa"/>
              <w:bottom w:w="80" w:type="dxa"/>
              <w:end w:w="100" w:type="dxa"/>
            </w:tcMar>
            <w:vAlign w:val="top"/>
          </w:tcPr>
          <w:p>
            <w:pPr>
              <w:spacing w:after="20"/>
            </w:pPr>
            <w:r/>
            <w:r>
              <w:rPr>
                <w:rFonts w:ascii="Aptos" w:hAnsi="Aptos"/>
                <w:b w:val="0"/>
                <w:sz w:val="18"/>
              </w:rPr>
              <w:t>“Hi Darius—thanks for letting me know. Please ask Renata to return to the chat; I can discuss account information only with the verified account holder.”</w:t>
            </w:r>
          </w:p>
        </w:tc>
      </w:tr>
    </w:tbl>
    <w:p>
      <w:pPr>
        <w:ind w:left="216"/>
      </w:pPr>
      <w:r>
        <w:rPr>
          <w:b/>
          <w:color w:val="2F5597"/>
        </w:rPr>
        <w:t xml:space="preserve">COACHING NOTE  </w:t>
      </w:r>
      <w:r>
        <w:t>If Renata cannot be authenticated, withhold all account information and pause or end the account-specific exchange. Do not improvise from a shared device, an open browser, or a claimed relationship.</w:t>
      </w:r>
    </w:p>
    <w:p>
      <w:r>
        <w:br w:type="page"/>
      </w:r>
    </w:p>
    <w:p>
      <w:pPr>
        <w:pStyle w:val="Heading1"/>
      </w:pPr>
      <w:r>
        <w:t>03  |  QTC-21 — unsupported legal threat</w:t>
      </w:r>
    </w:p>
    <w:tbl>
      <w:tblPr>
        <w:tblW w:type="auto" w:w="0"/>
        <w:jc w:val="center"/>
        <w:tblLayout w:type="fixed"/>
        <w:tblLook w:firstColumn="1" w:firstRow="1" w:lastColumn="0" w:lastRow="0" w:noHBand="0" w:noVBand="1" w:val="04A0"/>
      </w:tblPr>
      <w:tblGrid>
        <w:gridCol w:w="1656"/>
        <w:gridCol w:w="8568"/>
      </w:tblGrid>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SOURCE</w:t>
            </w:r>
          </w:p>
        </w:tc>
        <w:tc>
          <w:tcPr>
            <w:tcW w:type="dxa" w:w="8568"/>
            <w:tcMar>
              <w:top w:w="80" w:type="dxa"/>
              <w:start w:w="100" w:type="dxa"/>
              <w:bottom w:w="80" w:type="dxa"/>
              <w:end w:w="100" w:type="dxa"/>
            </w:tcMar>
            <w:vAlign w:val="top"/>
          </w:tcPr>
          <w:p>
            <w:pPr>
              <w:spacing w:after="20"/>
            </w:pPr>
            <w:r/>
            <w:r>
              <w:rPr>
                <w:rFonts w:ascii="Aptos" w:hAnsi="Aptos"/>
                <w:b w:val="0"/>
                <w:sz w:val="18"/>
              </w:rPr>
              <w:t>QTC-21, line 11 (customer): “I can’t pay Friday.”</w:t>
              <w:br/>
              <w:t>Agent line 12: “If it isn’t paid by Friday, we will sue and garnish your wages.” Quillhaven confirms neither action was authorized on the account.</w:t>
            </w:r>
          </w:p>
        </w:tc>
      </w:tr>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FINDING</w:t>
            </w:r>
          </w:p>
        </w:tc>
        <w:tc>
          <w:tcPr>
            <w:tcW w:type="dxa" w:w="8568"/>
            <w:tcMar>
              <w:top w:w="80" w:type="dxa"/>
              <w:start w:w="100" w:type="dxa"/>
              <w:bottom w:w="80" w:type="dxa"/>
              <w:end w:w="100" w:type="dxa"/>
            </w:tcMar>
            <w:vAlign w:val="top"/>
          </w:tcPr>
          <w:p>
            <w:pPr>
              <w:spacing w:after="20"/>
            </w:pPr>
            <w:r/>
            <w:r>
              <w:rPr>
                <w:rFonts w:ascii="Aptos" w:hAnsi="Aptos"/>
                <w:b w:val="0"/>
                <w:sz w:val="18"/>
              </w:rPr>
              <w:t>The agent presented a Friday ultimatum and threatened both a lawsuit and wage garnishment even though neither action was authorized. This is more than forceful tone: it represents remedies the collector could not lawfully or presently take. Garnishment does not follow automatically from a missed payment; it ordinarily requires lawful process and additional conditions.</w:t>
            </w:r>
          </w:p>
        </w:tc>
      </w:tr>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PROVISION</w:t>
            </w:r>
          </w:p>
        </w:tc>
        <w:tc>
          <w:tcPr>
            <w:tcW w:type="dxa" w:w="8568"/>
            <w:tcMar>
              <w:top w:w="80" w:type="dxa"/>
              <w:start w:w="100" w:type="dxa"/>
              <w:bottom w:w="80" w:type="dxa"/>
              <w:end w:w="100" w:type="dxa"/>
            </w:tcMar>
            <w:vAlign w:val="top"/>
          </w:tcPr>
          <w:p>
            <w:pPr>
              <w:spacing w:after="20"/>
            </w:pPr>
            <w:r/>
            <w:r>
              <w:rPr>
                <w:rFonts w:ascii="Aptos" w:hAnsi="Aptos"/>
                <w:b w:val="0"/>
                <w:sz w:val="18"/>
              </w:rPr>
              <w:t>15 U.S.C. § 1692e(5) (FDCPA § 807(5)) prohibits threatening action that cannot legally be taken or is not intended to be taken. Section 1692e(4) (FDCPA § 807(4)) addresses representing that nonpayment will result in garnishment when lawful garnishment conditions have not been established. Authorized remedies may be discussed accurately, but these facts do not support that claim.</w:t>
            </w:r>
          </w:p>
        </w:tc>
      </w:tr>
      <w:tr>
        <w:tc>
          <w:tcPr>
            <w:tcW w:type="dxa" w:w="1656"/>
            <w:shd w:fill="DDEBF7"/>
            <w:tcMar>
              <w:top w:w="80" w:type="dxa"/>
              <w:start w:w="100" w:type="dxa"/>
              <w:bottom w:w="80" w:type="dxa"/>
              <w:end w:w="100" w:type="dxa"/>
            </w:tcMar>
            <w:vAlign w:val="top"/>
          </w:tcPr>
          <w:p>
            <w:pPr>
              <w:spacing w:after="20"/>
            </w:pPr>
            <w:r/>
            <w:r>
              <w:rPr>
                <w:rFonts w:ascii="Aptos" w:hAnsi="Aptos"/>
                <w:b/>
                <w:color w:val="17365D"/>
                <w:sz w:val="17"/>
              </w:rPr>
              <w:t>REWRITE</w:t>
            </w:r>
          </w:p>
        </w:tc>
        <w:tc>
          <w:tcPr>
            <w:tcW w:type="dxa" w:w="8568"/>
            <w:tcMar>
              <w:top w:w="80" w:type="dxa"/>
              <w:start w:w="100" w:type="dxa"/>
              <w:bottom w:w="80" w:type="dxa"/>
              <w:end w:w="100" w:type="dxa"/>
            </w:tcMar>
            <w:vAlign w:val="top"/>
          </w:tcPr>
          <w:p>
            <w:pPr>
              <w:spacing w:after="20"/>
            </w:pPr>
            <w:r/>
            <w:r>
              <w:rPr>
                <w:rFonts w:ascii="Aptos" w:hAnsi="Aptos"/>
                <w:b w:val="0"/>
                <w:sz w:val="18"/>
              </w:rPr>
              <w:t>“I understand Friday may not work. What payment amount or date would be realistic for you based on the options currently available?”</w:t>
            </w:r>
          </w:p>
        </w:tc>
      </w:tr>
    </w:tbl>
    <w:p>
      <w:pPr>
        <w:ind w:left="216"/>
      </w:pPr>
      <w:r>
        <w:rPr>
          <w:b/>
          <w:color w:val="2F5597"/>
        </w:rPr>
        <w:t xml:space="preserve">COACHING NOTE  </w:t>
      </w:r>
      <w:r>
        <w:t>Keep collection purposeful without inventing a settlement, deadline, lawsuit, or garnishment consequence. The replacement asks for a workable amount/date and promises no option that has not been established.</w:t>
      </w:r>
    </w:p>
    <w:p>
      <w:r>
        <w:br w:type="page"/>
      </w:r>
    </w:p>
    <w:p>
      <w:pPr>
        <w:pStyle w:val="Heading1"/>
      </w:pPr>
      <w:r>
        <w:t>04  |  QTC-34 — prohibited workplace channel</w:t>
      </w:r>
    </w:p>
    <w:tbl>
      <w:tblPr>
        <w:tblW w:type="auto" w:w="0"/>
        <w:jc w:val="center"/>
        <w:tblLayout w:type="fixed"/>
        <w:tblLook w:firstColumn="1" w:firstRow="1" w:lastColumn="0" w:lastRow="0" w:noHBand="0" w:noVBand="1" w:val="04A0"/>
      </w:tblPr>
      <w:tblGrid>
        <w:gridCol w:w="1656"/>
        <w:gridCol w:w="8568"/>
      </w:tblGrid>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SOURCE</w:t>
            </w:r>
          </w:p>
        </w:tc>
        <w:tc>
          <w:tcPr>
            <w:tcW w:type="dxa" w:w="8568"/>
            <w:tcMar>
              <w:top w:w="80" w:type="dxa"/>
              <w:start w:w="100" w:type="dxa"/>
              <w:bottom w:w="80" w:type="dxa"/>
              <w:end w:w="100" w:type="dxa"/>
            </w:tcMar>
            <w:vAlign w:val="top"/>
          </w:tcPr>
          <w:p>
            <w:pPr>
              <w:spacing w:after="20"/>
            </w:pPr>
            <w:r/>
            <w:r>
              <w:rPr>
                <w:rFonts w:ascii="Aptos" w:hAnsi="Aptos"/>
                <w:b w:val="0"/>
                <w:sz w:val="18"/>
              </w:rPr>
              <w:t>QTC-34, line 14 (customer): “Stop contacting me at work. My employer prohibits collection messages.”</w:t>
              <w:br/>
              <w:t>Agent line 15: “We can keep using this chat until your employer tells us to stop.”</w:t>
            </w:r>
          </w:p>
        </w:tc>
      </w:tr>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FINDING</w:t>
            </w:r>
          </w:p>
        </w:tc>
        <w:tc>
          <w:tcPr>
            <w:tcW w:type="dxa" w:w="8568"/>
            <w:tcMar>
              <w:top w:w="80" w:type="dxa"/>
              <w:start w:w="100" w:type="dxa"/>
              <w:bottom w:w="80" w:type="dxa"/>
              <w:end w:w="100" w:type="dxa"/>
            </w:tcMar>
            <w:vAlign w:val="top"/>
          </w:tcPr>
          <w:p>
            <w:pPr>
              <w:spacing w:after="20"/>
            </w:pPr>
            <w:r/>
            <w:r>
              <w:rPr>
                <w:rFonts w:ascii="Aptos" w:hAnsi="Aptos"/>
                <w:b w:val="0"/>
                <w:sz w:val="18"/>
              </w:rPr>
              <w:t>The consumer expressly reported that the employer prohibits collection messages. The agent nevertheless asserted that the workplace chat could continue. The customer’s statement gives the collector reason to know of the employer prohibition; separate notice from the employer is not required.</w:t>
            </w:r>
          </w:p>
        </w:tc>
      </w:tr>
      <w:tr>
        <w:tc>
          <w:tcPr>
            <w:tcW w:type="dxa" w:w="1656"/>
            <w:shd w:fill="D9EAF7"/>
            <w:tcMar>
              <w:top w:w="80" w:type="dxa"/>
              <w:start w:w="100" w:type="dxa"/>
              <w:bottom w:w="80" w:type="dxa"/>
              <w:end w:w="100" w:type="dxa"/>
            </w:tcMar>
            <w:vAlign w:val="top"/>
          </w:tcPr>
          <w:p>
            <w:pPr>
              <w:spacing w:after="20"/>
            </w:pPr>
            <w:r/>
            <w:r>
              <w:rPr>
                <w:rFonts w:ascii="Aptos" w:hAnsi="Aptos"/>
                <w:b/>
                <w:color w:val="17365D"/>
                <w:sz w:val="17"/>
              </w:rPr>
              <w:t>PROVISION</w:t>
            </w:r>
          </w:p>
        </w:tc>
        <w:tc>
          <w:tcPr>
            <w:tcW w:type="dxa" w:w="8568"/>
            <w:tcMar>
              <w:top w:w="80" w:type="dxa"/>
              <w:start w:w="100" w:type="dxa"/>
              <w:bottom w:w="80" w:type="dxa"/>
              <w:end w:w="100" w:type="dxa"/>
            </w:tcMar>
            <w:vAlign w:val="top"/>
          </w:tcPr>
          <w:p>
            <w:pPr>
              <w:spacing w:after="20"/>
            </w:pPr>
            <w:r/>
            <w:r>
              <w:rPr>
                <w:rFonts w:ascii="Aptos" w:hAnsi="Aptos"/>
                <w:b w:val="0"/>
                <w:sz w:val="18"/>
              </w:rPr>
              <w:t>15 U.S.C. § 1692c(a)(3) (FDCPA § 805(a)(3)): a collector may not communicate with a consumer at the place of employment if it knows or has reason to know the employer prohibits such communications. This limits the workplace channel; it is not automatically a universal ban on every other lawful contact route.</w:t>
            </w:r>
          </w:p>
        </w:tc>
      </w:tr>
      <w:tr>
        <w:tc>
          <w:tcPr>
            <w:tcW w:type="dxa" w:w="1656"/>
            <w:shd w:fill="DDEBF7"/>
            <w:tcMar>
              <w:top w:w="80" w:type="dxa"/>
              <w:start w:w="100" w:type="dxa"/>
              <w:bottom w:w="80" w:type="dxa"/>
              <w:end w:w="100" w:type="dxa"/>
            </w:tcMar>
            <w:vAlign w:val="top"/>
          </w:tcPr>
          <w:p>
            <w:pPr>
              <w:spacing w:after="20"/>
            </w:pPr>
            <w:r/>
            <w:r>
              <w:rPr>
                <w:rFonts w:ascii="Aptos" w:hAnsi="Aptos"/>
                <w:b/>
                <w:color w:val="17365D"/>
                <w:sz w:val="17"/>
              </w:rPr>
              <w:t>REWRITE</w:t>
            </w:r>
          </w:p>
        </w:tc>
        <w:tc>
          <w:tcPr>
            <w:tcW w:type="dxa" w:w="8568"/>
            <w:tcMar>
              <w:top w:w="80" w:type="dxa"/>
              <w:start w:w="100" w:type="dxa"/>
              <w:bottom w:w="80" w:type="dxa"/>
              <w:end w:w="100" w:type="dxa"/>
            </w:tcMar>
            <w:vAlign w:val="top"/>
          </w:tcPr>
          <w:p>
            <w:pPr>
              <w:spacing w:after="20"/>
            </w:pPr>
            <w:r/>
            <w:r>
              <w:rPr>
                <w:rFonts w:ascii="Aptos" w:hAnsi="Aptos"/>
                <w:b w:val="0"/>
                <w:sz w:val="18"/>
              </w:rPr>
              <w:t>“Understood—I’ll stop using this workplace chat for collection messages. If you wish, tell us a permissible channel and time for future contact.”</w:t>
            </w:r>
          </w:p>
        </w:tc>
      </w:tr>
    </w:tbl>
    <w:p>
      <w:pPr>
        <w:ind w:left="216"/>
      </w:pPr>
      <w:r>
        <w:rPr>
          <w:b/>
          <w:color w:val="2F5597"/>
        </w:rPr>
        <w:t xml:space="preserve">COACHING NOTE  </w:t>
      </w:r>
      <w:r>
        <w:t>Acknowledge the restriction and stop this channel. Any alternative route must be chosen neutrally by the consumer and should not be used to pressure or presume consent.</w:t>
      </w:r>
    </w:p>
    <w:p>
      <w:pPr>
        <w:pStyle w:val="Heading1"/>
      </w:pPr>
      <w:r>
        <w:t>Incomplete excerpts: a safe review path</w:t>
      </w:r>
    </w:p>
    <w:p>
      <w:r>
        <w:t>When a future excerpt omits a fact needed for a definitive FDCPA finding, do not fill the gap from assumptions or from another account. Preserve the transcript identifier and exact line, write the unresolved question (for example, “Was the person authenticated?” or “Was the attorney’s representation debt-specific?”), and label the result “not determinable on the supplied record.” Use conditional coaching (“If the consumer is not verified, do not disclose account details”) and route the item to QA or compliance before further account-specific communication when the missing fact could change the outcome. This traceability lets the next reviewer finish the assessment without asking what was missing.</w:t>
      </w:r>
    </w:p>
    <w:p>
      <w:pPr>
        <w:pStyle w:val="Heading1"/>
      </w:pPr>
      <w:r>
        <w:t>Governance guardrails</w:t>
      </w:r>
    </w:p>
    <w:p>
      <w:r>
        <w:t>This pack evaluates only the four retained lines under the federal FDCPA as of the stated date. It does not estimate prevalence in the 40-chat sample, decide civil liability, or direct personnel, litigation, settlement, or account action. Use the SOURCE → FINDING → PROVISION → REWRITE labels to keep evidence and coaching distinct.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Internal coaching aid  •  Federal FDCPA scope  •  30 June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95959"/>
      </w:rPr>
      <w:t>QUILLHAVEN TRADING COMPANY  |  VENDOR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