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7365D"/>
          <w:sz w:val="32"/>
        </w:rPr>
        <w:t>WEXMOOR FOUNDRY</w:t>
      </w:r>
    </w:p>
    <w:p>
      <w:pPr>
        <w:spacing w:after="120"/>
      </w:pPr>
      <w:r>
        <w:rPr>
          <w:rFonts w:ascii="Aptos" w:hAnsi="Aptos"/>
          <w:b/>
          <w:color w:val="1F7A8C"/>
          <w:sz w:val="24"/>
        </w:rPr>
        <w:t>Corrected customer case response</w:t>
      </w:r>
    </w:p>
    <w:p>
      <w:pPr>
        <w:spacing w:after="120"/>
      </w:pPr>
      <w:r>
        <w:rPr>
          <w:rFonts w:ascii="Aptos" w:hAnsi="Aptos"/>
          <w:i/>
          <w:color w:val="4A4A4A"/>
          <w:sz w:val="18"/>
        </w:rPr>
        <w:t>Prepared by Lidia Khouri, Concierge, for Linnea Chidozie's senior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699"/>
            <w:vAlign w:val="center"/>
            <w:shd w:fill="D9EAF7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Response to</w:t>
            </w:r>
          </w:p>
        </w:tc>
        <w:tc>
          <w:tcPr>
            <w:tcW w:type="dxa" w:w="856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Tanneryside Associates</w:t>
            </w:r>
          </w:p>
        </w:tc>
      </w:tr>
      <w:tr>
        <w:tc>
          <w:tcPr>
            <w:tcW w:type="dxa" w:w="1699"/>
            <w:vAlign w:val="center"/>
            <w:shd w:fill="D9EAF7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Matter</w:t>
            </w:r>
          </w:p>
        </w:tc>
        <w:tc>
          <w:tcPr>
            <w:tcW w:type="dxa" w:w="8568"/>
            <w:vAlign w:val="center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Disputed facilities recharge for tenant conference | Booking TSA-771</w:t>
            </w:r>
          </w:p>
        </w:tc>
      </w:tr>
    </w:tbl>
    <w:p/>
    <w:p>
      <w:pPr>
        <w:spacing w:after="60"/>
      </w:pPr>
      <w:r>
        <w:t>Dear Tanneryside Associates,</w:t>
      </w:r>
    </w:p>
    <w:p>
      <w:pPr>
        <w:spacing w:after="100"/>
      </w:pPr>
      <w:r>
        <w:t xml:space="preserve">We have reworked the disputed facilities recharge for the tenant conference from Wexmoor Foundry's frozen Booking evidence and Issued facilities rates. </w:t>
      </w:r>
      <w:r>
        <w:rPr>
          <w:b/>
        </w:rPr>
        <w:t>The supportable facilities recharge is $2,267.50.</w:t>
      </w:r>
      <w:r>
        <w:t xml:space="preserve"> This evidence-based figure replaces the prior draft's $2,761.00 carried-forward total (Tanneryside_draft_case_response.docx, Draft charge basis - Current recharge).</w:t>
      </w:r>
    </w:p>
    <w:p>
      <w:pPr>
        <w:spacing w:after="80"/>
      </w:pPr>
      <w:r>
        <w:rPr>
          <w:i/>
          <w:color w:val="4A4A4A"/>
          <w:sz w:val="17"/>
        </w:rPr>
        <w:t>All evidence locators below are on the 'Case records' sheet of Tanneryside_booking_workbook.xlsx.</w:t>
      </w:r>
    </w:p>
    <w:p>
      <w:pPr>
        <w:spacing w:before="140" w:after="40"/>
      </w:pPr>
      <w:r>
        <w:rPr>
          <w:rFonts w:ascii="Aptos" w:hAnsi="Aptos"/>
          <w:b/>
          <w:color w:val="1F7A8C"/>
          <w:sz w:val="20"/>
        </w:rPr>
        <w:t>Charge reconciliation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612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Booking Line Key</w:t>
            </w:r>
          </w:p>
        </w:tc>
        <w:tc>
          <w:tcPr>
            <w:tcW w:type="dxa" w:w="3671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Supported basis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Charge</w:t>
            </w:r>
          </w:p>
        </w:tc>
        <w:tc>
          <w:tcPr>
            <w:tcW w:type="dxa" w:w="3139"/>
            <w:vAlign w:val="center"/>
            <w:shd w:fill="17365D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locator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FS-60291-01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Conference suite day hire</w:t>
              <w:br/>
              <w:t>1 day x $650.00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$650.00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r9; Issued facilities rates r21 (R-101)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FS-60291-02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AV and screen package</w:t>
              <w:br/>
              <w:t>1 package x $325.00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$325.00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r10; Issued facilities rates r22 (R-118)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FS-60291-03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Room service - working lunch</w:t>
              <w:br/>
              <w:t>37 covers x $18.50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$684.50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r11; Issued facilities rates r23 (R-207)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FS-60291-04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Room service - afternoon refreshment</w:t>
              <w:br/>
              <w:t>28 covers x $9.75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$273.00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r12; Issued facilities rates r24 (R-213)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FS-60291-05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Turnaround cleaning</w:t>
              <w:br/>
              <w:t>1 fixed service x $190.00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$190.00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r14; Issued facilities rates r25 (R-316)</w:t>
            </w:r>
          </w:p>
        </w:tc>
      </w:tr>
      <w:tr>
        <w:tc>
          <w:tcPr>
            <w:tcW w:type="dxa" w:w="1612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FS-60291-06</w:t>
            </w:r>
          </w:p>
        </w:tc>
        <w:tc>
          <w:tcPr>
            <w:tcW w:type="dxa" w:w="3671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Evening access steward</w:t>
              <w:br/>
              <w:t>1 shift x $145.00</w:t>
            </w:r>
          </w:p>
        </w:tc>
        <w:tc>
          <w:tcPr>
            <w:tcW w:type="dxa" w:w="1800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6"/>
              </w:rPr>
              <w:t>$145.00</w:t>
            </w:r>
          </w:p>
        </w:tc>
        <w:tc>
          <w:tcPr>
            <w:tcW w:type="dxa" w:w="3139"/>
            <w:tcBorders>
              <w:top w:val="single" w:sz="4" w:space="0" w:color="B7C5D0"/>
              <w:left w:val="single" w:sz="4" w:space="0" w:color="B7C5D0"/>
              <w:bottom w:val="single" w:sz="4" w:space="0" w:color="B7C5D0"/>
              <w:right w:val="single" w:sz="4" w:space="0" w:color="B7C5D0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Booking evidence r15; Issued facilities rates r26 (R-411)</w:t>
            </w:r>
          </w:p>
        </w:tc>
      </w:tr>
      <w:tr>
        <w:tc>
          <w:tcPr>
            <w:tcW w:type="dxa" w:w="1612"/>
            <w:shd w:fill="D9EAF7"/>
            <w:tcBorders>
              <w:top w:val="single" w:sz="4" w:space="0" w:color="88A9BC"/>
              <w:left w:val="single" w:sz="4" w:space="0" w:color="88A9BC"/>
              <w:bottom w:val="single" w:sz="4" w:space="0" w:color="88A9BC"/>
              <w:right w:val="single" w:sz="4" w:space="0" w:color="88A9BC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671"/>
            <w:shd w:fill="D9EAF7"/>
            <w:tcBorders>
              <w:top w:val="single" w:sz="4" w:space="0" w:color="88A9BC"/>
              <w:left w:val="single" w:sz="4" w:space="0" w:color="88A9BC"/>
              <w:bottom w:val="single" w:sz="4" w:space="0" w:color="88A9BC"/>
              <w:right w:val="single" w:sz="4" w:space="0" w:color="88A9BC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Supportable facilities recharge</w:t>
            </w:r>
          </w:p>
        </w:tc>
        <w:tc>
          <w:tcPr>
            <w:tcW w:type="dxa" w:w="1800"/>
            <w:shd w:fill="D9EAF7"/>
            <w:tcBorders>
              <w:top w:val="single" w:sz="4" w:space="0" w:color="88A9BC"/>
              <w:left w:val="single" w:sz="4" w:space="0" w:color="88A9BC"/>
              <w:bottom w:val="single" w:sz="4" w:space="0" w:color="88A9BC"/>
              <w:right w:val="single" w:sz="4" w:space="0" w:color="88A9BC"/>
            </w:tcBorders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$2,267.50</w:t>
            </w:r>
          </w:p>
        </w:tc>
        <w:tc>
          <w:tcPr>
            <w:tcW w:type="dxa" w:w="3139"/>
            <w:shd w:fill="D9EAF7"/>
            <w:tcBorders>
              <w:top w:val="single" w:sz="4" w:space="0" w:color="88A9BC"/>
              <w:left w:val="single" w:sz="4" w:space="0" w:color="88A9BC"/>
              <w:bottom w:val="single" w:sz="4" w:space="0" w:color="88A9BC"/>
              <w:right w:val="single" w:sz="4" w:space="0" w:color="88A9BC"/>
            </w:tcBorders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Sum of included lines above</w:t>
            </w:r>
          </w:p>
        </w:tc>
      </w:tr>
    </w:tbl>
    <w:p>
      <w:pPr>
        <w:spacing w:before="140" w:after="40"/>
      </w:pPr>
      <w:r>
        <w:rPr>
          <w:rFonts w:ascii="Aptos" w:hAnsi="Aptos"/>
          <w:b/>
          <w:color w:val="1F7A8C"/>
          <w:sz w:val="20"/>
        </w:rPr>
        <w:t>Basis, assumptions and unresolved point</w:t>
      </w:r>
    </w:p>
    <w:p>
      <w:pPr>
        <w:spacing w:after="60" w:line="245" w:lineRule="auto"/>
      </w:pPr>
      <w:r>
        <w:rPr>
          <w:rFonts w:ascii="Aptos" w:hAnsi="Aptos"/>
          <w:b/>
          <w:sz w:val="18"/>
        </w:rPr>
        <w:t xml:space="preserve">Booking key and overlap. </w:t>
      </w:r>
      <w:r>
        <w:rPr>
          <w:rFonts w:ascii="Aptos" w:hAnsi="Aptos"/>
          <w:sz w:val="18"/>
        </w:rPr>
        <w:t>The source control states that Booking Line Key is the single-record reconciliation key. FS-60291-04 appears in Booking evidence rows 12 and 13. It is counted once from row 12, which carries the only post-service quantity note; the overlapping handoff record is excluded from the monetary reconciliation.</w:t>
      </w:r>
    </w:p>
    <w:p>
      <w:pPr>
        <w:spacing w:after="60" w:line="245" w:lineRule="auto"/>
      </w:pPr>
      <w:r>
        <w:rPr>
          <w:rFonts w:ascii="Aptos" w:hAnsi="Aptos"/>
          <w:b/>
          <w:sz w:val="18"/>
        </w:rPr>
        <w:t xml:space="preserve">Room-service quantities. </w:t>
      </w:r>
      <w:r>
        <w:rPr>
          <w:rFonts w:ascii="Aptos" w:hAnsi="Aptos"/>
          <w:sz w:val="18"/>
        </w:rPr>
        <w:t>The row note on FS-60291-03 controls 37 covers rather than its ordinary 42; the row note on FS-60291-04 controls 28 covers rather than its ordinary 32. These row-level exceptions are applied only to those two room-service lines; other quantities remain as recorded.</w:t>
      </w:r>
    </w:p>
    <w:p>
      <w:pPr>
        <w:spacing w:after="60" w:line="245" w:lineRule="auto"/>
      </w:pPr>
      <w:r>
        <w:rPr>
          <w:rFonts w:ascii="Aptos" w:hAnsi="Aptos"/>
          <w:b/>
          <w:sz w:val="18"/>
        </w:rPr>
        <w:t xml:space="preserve">Unresolved service date. </w:t>
      </w:r>
      <w:r>
        <w:rPr>
          <w:rFonts w:ascii="Aptos" w:hAnsi="Aptos"/>
          <w:sz w:val="18"/>
        </w:rPr>
        <w:t>The shared key FS-60291-04 has conflicting service-date entries: Booking evidence row 12 (booking export) shows 17 June 2026, while row 13 (concierge handoff) shows 18 June 2026. The date remains unresolved. The key-based reconciliation does not use either date as a filter, so this ambiguity does not change the stated monetary scope.</w:t>
      </w:r>
    </w:p>
    <w:p>
      <w:pPr>
        <w:spacing w:after="60" w:line="245" w:lineRule="auto"/>
      </w:pPr>
      <w:r>
        <w:rPr>
          <w:rFonts w:ascii="Aptos" w:hAnsi="Aptos"/>
          <w:b/>
          <w:sz w:val="18"/>
        </w:rPr>
        <w:t xml:space="preserve">Retired helper. </w:t>
      </w:r>
      <w:r>
        <w:rPr>
          <w:rFonts w:ascii="Aptos" w:hAnsi="Aptos"/>
          <w:sz w:val="18"/>
        </w:rPr>
        <w:t>The prior draft's $2,761.00 (Tanneryside_draft_case_response.docx, Draft charge basis - Current recharge) follows the retired legacy helper calculation (rows 32-39), not the underlying booking evidence and issued rates. Its residual reference-error cell is non-authoritative and is not used in this response.</w:t>
      </w:r>
    </w:p>
    <w:p>
      <w:pPr>
        <w:spacing w:after="60" w:line="245" w:lineRule="auto"/>
      </w:pPr>
      <w:r>
        <w:rPr>
          <w:rFonts w:ascii="Aptos" w:hAnsi="Aptos"/>
          <w:b/>
          <w:sz w:val="18"/>
        </w:rPr>
        <w:t xml:space="preserve">Assumption / zero denominator convention. </w:t>
      </w:r>
      <w:r>
        <w:rPr>
          <w:rFonts w:ascii="Aptos" w:hAnsi="Aptos"/>
          <w:sz w:val="18"/>
        </w:rPr>
        <w:t>For FS-60291-05 (Booking evidence row 14), Tenant covers / All covers is 0/0; a headcount allocation ratio cannot be calculated. The convention is to include the supported fixed booked-service charge of $190.00 once, using Issued facilities rates row 25 (R-316), and to state no derived allocation or separate allocation amount.</w:t>
      </w:r>
    </w:p>
    <w:p>
      <w:pPr>
        <w:spacing w:before="40" w:after="100"/>
      </w:pPr>
      <w:r>
        <w:rPr>
          <w:rFonts w:ascii="Aptos" w:hAnsi="Aptos"/>
          <w:b/>
          <w:color w:val="17365D"/>
          <w:sz w:val="18"/>
        </w:rPr>
        <w:t>The supportable figure excludes a second charge for the overlapping handoff record, the retired-helper total, and any undefined headcount allocation.</w:t>
      </w:r>
    </w:p>
    <w:p>
      <w:pPr>
        <w:spacing w:after="0"/>
      </w:pPr>
      <w:r>
        <w:t>Regards,</w:t>
        <w:br/>
        <w:t>Lidia Khouri</w:t>
        <w:br/>
        <w:t>Wexmoor Foundry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4A4A"/>
        <w:sz w:val="16"/>
      </w:rPr>
      <w:t>Wexmoor Foundry | FR-60291 | Corrected case response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Corrected Tanneryside facilities recharge case response</dc:title>
  <dc:subject>FR-60291</dc:subject>
  <dc:creator>Wexmoor Foundry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