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F4E78"/>
          <w:sz w:val="30"/>
        </w:rPr>
        <w:t>Goldfinch Field Services | Migration Quality Note</w:t>
      </w:r>
    </w:p>
    <w:tbl>
      <w:tblPr>
        <w:tblW w:type="auto" w:w="0"/>
        <w:jc w:val="left"/>
        <w:tblLayout w:type="fixed"/>
        <w:tblLook w:firstColumn="1" w:firstRow="1" w:lastColumn="0" w:lastRow="0" w:noHBand="0" w:noVBand="1" w:val="04A0"/>
      </w:tblPr>
      <w:tblGrid>
        <w:gridCol w:w="5083"/>
        <w:gridCol w:w="5083"/>
      </w:tblGrid>
      <w:tr>
        <w:tc>
          <w:tcPr>
            <w:tcW w:type="dxa" w:w="1440"/>
            <w:shd w:fill="D9EAF7"/>
          </w:tcPr>
          <w:p>
            <w:pPr>
              <w:spacing w:after="0"/>
            </w:pPr>
            <w:r>
              <w:rPr>
                <w:rFonts w:ascii="Aptos" w:hAnsi="Aptos"/>
                <w:b/>
                <w:sz w:val="19"/>
              </w:rPr>
              <w:t>To</w:t>
            </w:r>
          </w:p>
        </w:tc>
        <w:tc>
          <w:tcPr>
            <w:tcW w:type="dxa" w:w="8496"/>
          </w:tcPr>
          <w:p>
            <w:pPr>
              <w:spacing w:after="0"/>
            </w:pPr>
            <w:r>
              <w:rPr>
                <w:rFonts w:ascii="Aptos" w:hAnsi="Aptos"/>
                <w:sz w:val="19"/>
              </w:rPr>
              <w:t>Cecilia Hollingsworth</w:t>
            </w:r>
          </w:p>
        </w:tc>
      </w:tr>
      <w:tr>
        <w:tc>
          <w:tcPr>
            <w:tcW w:type="dxa" w:w="1440"/>
            <w:shd w:fill="D9EAF7"/>
          </w:tcPr>
          <w:p>
            <w:pPr>
              <w:spacing w:after="0"/>
            </w:pPr>
            <w:r>
              <w:rPr>
                <w:rFonts w:ascii="Aptos" w:hAnsi="Aptos"/>
                <w:b/>
                <w:sz w:val="19"/>
              </w:rPr>
              <w:t>From</w:t>
            </w:r>
          </w:p>
        </w:tc>
        <w:tc>
          <w:tcPr>
            <w:tcW w:type="dxa" w:w="8496"/>
          </w:tcPr>
          <w:p>
            <w:pPr>
              <w:spacing w:after="0"/>
            </w:pPr>
            <w:r>
              <w:rPr>
                <w:rFonts w:ascii="Aptos" w:hAnsi="Aptos"/>
                <w:sz w:val="19"/>
              </w:rPr>
              <w:t>Retail Migration Support</w:t>
            </w:r>
          </w:p>
        </w:tc>
      </w:tr>
      <w:tr>
        <w:tc>
          <w:tcPr>
            <w:tcW w:type="dxa" w:w="1440"/>
            <w:shd w:fill="D9EAF7"/>
          </w:tcPr>
          <w:p>
            <w:pPr>
              <w:spacing w:after="0"/>
            </w:pPr>
            <w:r>
              <w:rPr>
                <w:rFonts w:ascii="Aptos" w:hAnsi="Aptos"/>
                <w:b/>
                <w:sz w:val="19"/>
              </w:rPr>
              <w:t>Date</w:t>
            </w:r>
          </w:p>
        </w:tc>
        <w:tc>
          <w:tcPr>
            <w:tcW w:type="dxa" w:w="8496"/>
          </w:tcPr>
          <w:p>
            <w:pPr>
              <w:spacing w:after="0"/>
            </w:pPr>
            <w:r>
              <w:rPr>
                <w:rFonts w:ascii="Aptos" w:hAnsi="Aptos"/>
                <w:sz w:val="19"/>
              </w:rPr>
              <w:t>15 April 2026</w:t>
            </w:r>
          </w:p>
        </w:tc>
      </w:tr>
      <w:tr>
        <w:tc>
          <w:tcPr>
            <w:tcW w:type="dxa" w:w="1440"/>
            <w:shd w:fill="D9EAF7"/>
          </w:tcPr>
          <w:p>
            <w:pPr>
              <w:spacing w:after="0"/>
            </w:pPr>
            <w:r>
              <w:rPr>
                <w:rFonts w:ascii="Aptos" w:hAnsi="Aptos"/>
                <w:b/>
                <w:sz w:val="19"/>
              </w:rPr>
              <w:t>Subject</w:t>
            </w:r>
          </w:p>
        </w:tc>
        <w:tc>
          <w:tcPr>
            <w:tcW w:type="dxa" w:w="8496"/>
          </w:tcPr>
          <w:p>
            <w:pPr>
              <w:spacing w:after="0"/>
            </w:pPr>
            <w:r>
              <w:rPr>
                <w:rFonts w:ascii="Aptos" w:hAnsi="Aptos"/>
                <w:sz w:val="19"/>
              </w:rPr>
              <w:t>Shelf-label validation export context</w:t>
            </w:r>
          </w:p>
        </w:tc>
      </w:tr>
    </w:tbl>
    <w:p>
      <w:pPr>
        <w:spacing w:line="247" w:lineRule="auto"/>
      </w:pPr>
      <w:r>
        <w:t>The attached shelf_label_validation_source.xlsx export combines the field price checks gathered for the Yarrowfield shelf-price migration. Reviewers compared the expected shelf price carried in the migration work with the price they observed on the shelf. The participating entities in this pull are Alder Quay Outlet, Brackenfield Market, Cedarbrook Supply, Dovetail Corner, and Elmhurst Merchants.</w:t>
      </w:r>
    </w:p>
    <w:p>
      <w:pPr>
        <w:spacing w:line="247" w:lineRule="auto"/>
      </w:pPr>
      <w:r>
        <w:t>The first visit set is labelled Cycle 1 - Field Baseline. The follow-up visit set is labelled Cycle 2 - Migration Check. Both labels are used as stored in the export and refer to the two field-validation passes, not to a calendar-week rollup. The product descriptions and SKU values identify the items checked at each entity.</w:t>
      </w:r>
    </w:p>
    <w:p>
      <w:pPr>
        <w:spacing w:line="247" w:lineRule="auto"/>
      </w:pPr>
      <w:r>
        <w:t>Captured label result is the wording selected in the field tool at the visit. Matched, Aligned, and Correct were common terms used when a reviewer considered the label to read as aligned; Mismatch and Price variance were common terms when a difference was noticed. The wording was retained in the export because it is part of the visit record alongside the two price fields.</w:t>
      </w:r>
    </w:p>
    <w:p>
      <w:pPr>
        <w:spacing w:line="247" w:lineRule="auto"/>
      </w:pPr>
      <w:r>
        <w:t>Move Qty is a movement count, not a common unit across rows. Each means one individual consumer unit. A Pack contains the amount in Units / pack, and a Shipment contains the number of packs in Packs / shipment; those packs contain the stated units. The values vary by SKU and are carried on each validation row. The lower Transfer Queue in the spreadsheet is a distribution-operations queue appended by the export service; it records planned transfers rather than shelf observations.</w:t>
      </w:r>
    </w:p>
    <w:p>
      <w:pPr>
        <w:spacing w:line="247" w:lineRule="auto"/>
      </w:pPr>
      <w:r>
        <w:t>Pilot helper result was carried forward from the early migration pilot. It reflects the pilot-stage indication available at that time and was not refreshed with every later field visit. This memo provides context for the export and does not replace the values captured in the validation rows.</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F7F7F"/>
        <w:sz w:val="16"/>
      </w:rPr>
      <w:t>Goldfinch Field Services | Internal migration-quality working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Quality Note</dc:title>
  <dc:subject>Shelf-label validation context</dc:subject>
  <dc:creator>Yarrowfield Industries</dc:creator>
  <cp:keywords/>
  <dc:description>generated by python-docx</dc:description>
  <cp:lastModifiedBy/>
  <cp:revision>1</cp:revision>
  <dcterms:created xsi:type="dcterms:W3CDTF">2013-12-23T23:15:00Z</dcterms:created>
  <dcterms:modified xsi:type="dcterms:W3CDTF">2013-12-23T23:15:00Z</dcterms:modified>
  <cp:category/>
</cp:coreProperties>
</file>