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Terms Policy</w:t>
      </w:r>
    </w:p>
    <w:p>
      <w:r>
        <w:t>Stonebridge Health Network wholesale desk | Effective 2026-06-15</w:t>
      </w:r>
    </w:p>
    <w:p>
      <w:pPr>
        <w:pStyle w:val="Heading1"/>
      </w:pPr>
      <w:r>
        <w:t>Competitor terms</w:t>
      </w:r>
    </w:p>
    <w:p>
      <w:r>
        <w:t>A documented competitor prompt-payment discount may be recognized only when the quote states the discount and the reviewer reasonably expects Foxhollow Practice to earn it. The line-level Earned choice must be recorded. If not earned, use no credit.</w:t>
      </w:r>
    </w:p>
    <w:p>
      <w:pPr>
        <w:pStyle w:val="Heading1"/>
      </w:pPr>
      <w:r>
        <w:t>Stonebridge terms</w:t>
      </w:r>
    </w:p>
    <w:p>
      <w:r>
        <w:t>Stonebridge offers no comparable prompt-payment discount for this account. Do not deduct a competitor discount from Stonebridge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