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i w:val="0"/>
          <w:color w:val="183B56"/>
          <w:sz w:val="41"/>
        </w:rPr>
        <w:t>CLOSING &amp; CASH-CONTROL</w:t>
      </w:r>
    </w:p>
    <w:p>
      <w:pPr>
        <w:spacing w:after="60"/>
      </w:pPr>
      <w:r>
        <w:rPr>
          <w:rFonts w:ascii="Arial" w:hAnsi="Arial" w:eastAsia="Arial"/>
          <w:b/>
          <w:i w:val="0"/>
          <w:color w:val="067C79"/>
          <w:sz w:val="30"/>
        </w:rPr>
        <w:t>PROCEDURE</w:t>
      </w:r>
    </w:p>
    <w:tbl>
      <w:tblPr>
        <w:tblW w:type="auto" w:w="0"/>
        <w:jc w:val="center"/>
        <w:tblLayout w:type="fixed"/>
        <w:tblLook w:firstColumn="1" w:firstRow="1" w:lastColumn="0" w:lastRow="0" w:noHBand="0" w:noVBand="1" w:val="04A0"/>
      </w:tblPr>
      <w:tblGrid>
        <w:gridCol w:w="10858"/>
      </w:tblGrid>
      <w:tr>
        <w:tc>
          <w:tcPr>
            <w:tcW w:type="dxa" w:w="10872"/>
            <w:shd w:fill="067C79" w:val="clear"/>
            <w:tcMar>
              <w:top w:w="5" w:type="dxa"/>
              <w:start w:w="0" w:type="dxa"/>
              <w:bottom w:w="5" w:type="dxa"/>
              <w:end w:w="0" w:type="dxa"/>
            </w:tcMar>
          </w:tcPr>
          <w:p>
            <w:pPr>
              <w:spacing w:after="0" w:line="48" w:lineRule="auto"/>
            </w:pPr>
            <w:r>
              <w:rPr>
                <w:rFonts w:ascii="Arial" w:hAnsi="Arial" w:eastAsia="Arial"/>
                <w:b w:val="0"/>
                <w:i w:val="0"/>
                <w:sz w:val="2"/>
              </w:rPr>
              <w:t xml:space="preserve"> </w:t>
            </w:r>
          </w:p>
        </w:tc>
      </w:tr>
    </w:tbl>
    <w:tbl>
      <w:tblPr>
        <w:tblW w:type="auto" w:w="0"/>
        <w:jc w:val="center"/>
        <w:tblLayout w:type="fixed"/>
        <w:tblLook w:firstColumn="1" w:firstRow="1" w:lastColumn="0" w:lastRow="0" w:noHBand="0" w:noVBand="1" w:val="04A0"/>
      </w:tblPr>
      <w:tblGrid>
        <w:gridCol w:w="2714"/>
        <w:gridCol w:w="2714"/>
        <w:gridCol w:w="2714"/>
        <w:gridCol w:w="2714"/>
      </w:tblGrid>
      <w:tr>
        <w:tc>
          <w:tcPr>
            <w:tcW w:type="dxa" w:w="2718"/>
            <w:shd w:fill="F2F4F5" w:val="clear"/>
            <w:tcMar>
              <w:top w:w="55" w:type="dxa"/>
              <w:start w:w="75" w:type="dxa"/>
              <w:bottom w:w="55" w:type="dxa"/>
              <w:end w:w="75" w:type="dxa"/>
            </w:tcMar>
            <w:tcBorders>
              <w:bottom w:val="single" w:sz="5" w:color="C8D0D6"/>
            </w:tcBorders>
          </w:tcPr>
          <w:p>
            <w:pPr>
              <w:spacing w:after="0"/>
            </w:pPr>
            <w:r>
              <w:rPr>
                <w:rFonts w:ascii="Arial" w:hAnsi="Arial" w:eastAsia="Arial"/>
                <w:b/>
                <w:i w:val="0"/>
                <w:color w:val="5D6873"/>
                <w:sz w:val="13"/>
              </w:rPr>
              <w:t>DOCUMENT OWNER</w:t>
              <w:br/>
            </w:r>
            <w:r>
              <w:rPr>
                <w:rFonts w:ascii="Arial" w:hAnsi="Arial" w:eastAsia="Arial"/>
                <w:b/>
                <w:i w:val="0"/>
                <w:color w:val="1D2733"/>
                <w:sz w:val="15"/>
              </w:rPr>
              <w:t>Retail Floor Supervision</w:t>
            </w:r>
          </w:p>
        </w:tc>
        <w:tc>
          <w:tcPr>
            <w:tcW w:type="dxa" w:w="2718"/>
            <w:shd w:fill="F2F4F5" w:val="clear"/>
            <w:tcMar>
              <w:top w:w="55" w:type="dxa"/>
              <w:start w:w="75" w:type="dxa"/>
              <w:bottom w:w="55" w:type="dxa"/>
              <w:end w:w="75" w:type="dxa"/>
            </w:tcMar>
            <w:tcBorders>
              <w:bottom w:val="single" w:sz="5" w:color="C8D0D6"/>
            </w:tcBorders>
          </w:tcPr>
          <w:p>
            <w:pPr>
              <w:spacing w:after="0"/>
            </w:pPr>
            <w:r>
              <w:rPr>
                <w:rFonts w:ascii="Arial" w:hAnsi="Arial" w:eastAsia="Arial"/>
                <w:b/>
                <w:i w:val="0"/>
                <w:color w:val="5D6873"/>
                <w:sz w:val="13"/>
              </w:rPr>
              <w:t>VERSION / PREPARED</w:t>
              <w:br/>
            </w:r>
            <w:r>
              <w:rPr>
                <w:rFonts w:ascii="Arial" w:hAnsi="Arial" w:eastAsia="Arial"/>
                <w:b/>
                <w:i w:val="0"/>
                <w:color w:val="1D2733"/>
                <w:sz w:val="15"/>
              </w:rPr>
              <w:t>0.9 / 16 August 2026</w:t>
            </w:r>
          </w:p>
        </w:tc>
        <w:tc>
          <w:tcPr>
            <w:tcW w:type="dxa" w:w="2718"/>
            <w:shd w:fill="F2F4F5" w:val="clear"/>
            <w:tcMar>
              <w:top w:w="55" w:type="dxa"/>
              <w:start w:w="75" w:type="dxa"/>
              <w:bottom w:w="55" w:type="dxa"/>
              <w:end w:w="75" w:type="dxa"/>
            </w:tcMar>
            <w:tcBorders>
              <w:bottom w:val="single" w:sz="5" w:color="C8D0D6"/>
            </w:tcBorders>
          </w:tcPr>
          <w:p>
            <w:pPr>
              <w:spacing w:after="0"/>
            </w:pPr>
            <w:r>
              <w:rPr>
                <w:rFonts w:ascii="Arial" w:hAnsi="Arial" w:eastAsia="Arial"/>
                <w:b/>
                <w:i w:val="0"/>
                <w:color w:val="5D6873"/>
                <w:sz w:val="13"/>
              </w:rPr>
              <w:t>PRIMARY USER</w:t>
              <w:br/>
            </w:r>
            <w:r>
              <w:rPr>
                <w:rFonts w:ascii="Arial" w:hAnsi="Arial" w:eastAsia="Arial"/>
                <w:b/>
                <w:i w:val="0"/>
                <w:color w:val="1D2733"/>
                <w:sz w:val="15"/>
              </w:rPr>
              <w:t>Newly authorised closing supervisor</w:t>
            </w:r>
          </w:p>
        </w:tc>
        <w:tc>
          <w:tcPr>
            <w:tcW w:type="dxa" w:w="2718"/>
            <w:shd w:fill="F2F4F5" w:val="clear"/>
            <w:tcMar>
              <w:top w:w="55" w:type="dxa"/>
              <w:start w:w="75" w:type="dxa"/>
              <w:bottom w:w="55" w:type="dxa"/>
              <w:end w:w="75" w:type="dxa"/>
            </w:tcMar>
            <w:tcBorders>
              <w:bottom w:val="single" w:sz="5" w:color="C8D0D6"/>
            </w:tcBorders>
          </w:tcPr>
          <w:p>
            <w:pPr>
              <w:spacing w:after="0"/>
            </w:pPr>
            <w:r>
              <w:rPr>
                <w:rFonts w:ascii="Arial" w:hAnsi="Arial" w:eastAsia="Arial"/>
                <w:b/>
                <w:i w:val="0"/>
                <w:color w:val="5D6873"/>
                <w:sz w:val="13"/>
              </w:rPr>
              <w:t>APPROVAL STATUS</w:t>
              <w:br/>
            </w:r>
            <w:r>
              <w:rPr>
                <w:rFonts w:ascii="Arial" w:hAnsi="Arial" w:eastAsia="Arial"/>
                <w:b/>
                <w:i w:val="0"/>
                <w:color w:val="1D2733"/>
                <w:sz w:val="15"/>
              </w:rPr>
              <w:t>DRAFT - Orla Yamamoto decision required</w:t>
            </w:r>
          </w:p>
        </w:tc>
      </w:tr>
    </w:tbl>
    <w:p>
      <w:pPr>
        <w:pStyle w:val="Small"/>
        <w:spacing w:after="60"/>
      </w:pPr>
      <w:r>
        <w:rPr>
          <w:rFonts w:ascii="Arial" w:hAnsi="Arial" w:eastAsia="Arial"/>
          <w:b/>
          <w:i w:val="0"/>
          <w:color w:val="9A2E2E"/>
          <w:sz w:val="14"/>
        </w:rPr>
        <w:t>Issue status: not approved or issued. Use after approval only.</w:t>
      </w:r>
    </w:p>
    <w:tbl>
      <w:tblPr>
        <w:tblW w:type="auto" w:w="0"/>
        <w:jc w:val="center"/>
        <w:tblLayout w:type="fixed"/>
        <w:tblLook w:firstColumn="1" w:firstRow="1" w:lastColumn="0" w:lastRow="0" w:noHBand="0" w:noVBand="1" w:val="04A0"/>
      </w:tblPr>
      <w:tblGrid>
        <w:gridCol w:w="10858"/>
      </w:tblGrid>
      <w:tr>
        <w:tc>
          <w:tcPr>
            <w:tcW w:type="dxa" w:w="10829"/>
            <w:shd w:fill="FFF3D9" w:val="clear"/>
            <w:tcMar>
              <w:top w:w="95" w:type="dxa"/>
              <w:start w:w="120" w:type="dxa"/>
              <w:bottom w:w="95" w:type="dxa"/>
              <w:end w:w="120" w:type="dxa"/>
            </w:tcMar>
            <w:tcBorders>
              <w:top w:val="single" w:sz="8" w:color="A66A00"/>
              <w:left w:val="single" w:sz="18" w:color="A66A00"/>
              <w:bottom w:val="single" w:sz="8" w:color="A66A00"/>
              <w:right w:val="single" w:sz="8" w:color="A66A00"/>
            </w:tcBorders>
          </w:tcPr>
          <w:p>
            <w:pPr>
              <w:spacing w:after="20"/>
            </w:pPr>
            <w:r>
              <w:rPr>
                <w:rFonts w:ascii="Arial" w:hAnsi="Arial" w:eastAsia="Arial"/>
                <w:b/>
                <w:i w:val="0"/>
                <w:color w:val="A66A00"/>
                <w:sz w:val="16"/>
              </w:rPr>
              <w:t>APPROVAL DECISION REQUESTED - ORLA YAMAMOTO</w:t>
            </w:r>
          </w:p>
          <w:p>
            <w:pPr>
              <w:pStyle w:val="Body"/>
              <w:spacing w:after="0"/>
            </w:pPr>
            <w:r>
              <w:rPr>
                <w:rFonts w:ascii="Arial" w:hAnsi="Arial" w:eastAsia="Arial"/>
                <w:b w:val="0"/>
                <w:i w:val="0"/>
                <w:sz w:val="16"/>
              </w:rPr>
              <w:t>DRAFT DECISION: where only one Bellwether-authorised closer remains and a second cannot complete a final count before the applicable Quillhaven lockup-window end, permit controlled deferral only: preserve till evidence, seal and restrict the funds, record DEFERRED, complete safe lockup, and assign the next authorised pair to complete. This is not permission for a solo final count or Quillhaven substitution. Consequence: reconciliation remains deliberately incomplete overnight; no two-person count attestation is made, while the two-person rule and lockup control remain intact.</w:t>
            </w:r>
          </w:p>
        </w:tc>
      </w:tr>
    </w:tbl>
    <w:p>
      <w:pPr>
        <w:spacing w:after="0"/>
      </w:pPr>
    </w:p>
    <w:p>
      <w:pPr>
        <w:pStyle w:val="Section"/>
        <w:spacing w:before="80" w:after="20"/>
        <w:keepNext/>
      </w:pPr>
      <w:r>
        <w:rPr>
          <w:rFonts w:ascii="Arial" w:hAnsi="Arial" w:eastAsia="Arial"/>
          <w:b/>
          <w:i w:val="0"/>
          <w:color w:val="183B56"/>
          <w:sz w:val="24"/>
        </w:rPr>
        <w:t>Purpose, use and boundaries</w:t>
      </w:r>
    </w:p>
    <w:p>
      <w:pPr>
        <w:pStyle w:val="Body"/>
        <w:spacing w:after="40"/>
      </w:pPr>
      <w:r>
        <w:rPr>
          <w:rFonts w:ascii="Arial" w:hAnsi="Arial" w:eastAsia="Arial"/>
          <w:b/>
          <w:i w:val="0"/>
          <w:color w:val="183B56"/>
          <w:sz w:val="16"/>
        </w:rPr>
        <w:t xml:space="preserve">Use at every Bellwether close </w:t>
      </w:r>
      <w:r>
        <w:rPr>
          <w:rFonts w:ascii="Arial" w:hAnsi="Arial" w:eastAsia="Arial"/>
          <w:b w:val="0"/>
          <w:i w:val="0"/>
          <w:sz w:val="16"/>
        </w:rPr>
        <w:t xml:space="preserve">from end of trading through recorded cash handover. It is for a newly authorised closing supervisor when a close begins, a till differs, only one authorised closer may remain, or a severe safety event arises. </w:t>
      </w:r>
      <w:r>
        <w:rPr>
          <w:rFonts w:ascii="Arial" w:hAnsi="Arial" w:eastAsia="Arial"/>
          <w:b/>
          <w:i w:val="0"/>
          <w:color w:val="183B56"/>
          <w:sz w:val="16"/>
        </w:rPr>
        <w:t xml:space="preserve">Out of scope: </w:t>
      </w:r>
      <w:r>
        <w:rPr>
          <w:rFonts w:ascii="Arial" w:hAnsi="Arial" w:eastAsia="Arial"/>
          <w:b w:val="0"/>
          <w:i w:val="0"/>
          <w:sz w:val="16"/>
        </w:rPr>
        <w:t>opening, till-system click paths, bank-deposit transport, disciplinary investigation, staffing recommendations and Quillhaven contract recommendations.</w:t>
      </w:r>
    </w:p>
    <w:tbl>
      <w:tblPr>
        <w:tblW w:type="auto" w:w="0"/>
        <w:jc w:val="center"/>
        <w:tblLayout w:type="fixed"/>
        <w:tblLook w:firstColumn="1" w:firstRow="1" w:lastColumn="0" w:lastRow="0" w:noHBand="0" w:noVBand="1" w:val="04A0"/>
      </w:tblPr>
      <w:tblGrid>
        <w:gridCol w:w="3619"/>
        <w:gridCol w:w="3619"/>
        <w:gridCol w:w="3619"/>
      </w:tblGrid>
      <w:tr>
        <w:tc>
          <w:tcPr>
            <w:tcW w:type="dxa" w:w="3614"/>
            <w:shd w:fill="E7F3F2" w:val="clear"/>
            <w:tcMar>
              <w:top w:w="75" w:type="dxa"/>
              <w:start w:w="80" w:type="dxa"/>
              <w:bottom w:w="70" w:type="dxa"/>
              <w:end w:w="80" w:type="dxa"/>
            </w:tcMar>
            <w:tcBorders>
              <w:bottom w:val="single" w:sz="7" w:color="067C79"/>
            </w:tcBorders>
          </w:tcPr>
          <w:p>
            <w:pPr>
              <w:spacing w:after="20"/>
            </w:pPr>
            <w:r>
              <w:rPr>
                <w:rFonts w:ascii="Arial" w:hAnsi="Arial" w:eastAsia="Arial"/>
                <w:b/>
                <w:i w:val="0"/>
                <w:color w:val="183B56"/>
                <w:sz w:val="16"/>
              </w:rPr>
              <w:t>Two authorised people</w:t>
            </w:r>
          </w:p>
          <w:p>
            <w:pPr>
              <w:pStyle w:val="Small"/>
              <w:spacing w:after="0"/>
            </w:pPr>
            <w:r>
              <w:rPr>
                <w:rFonts w:ascii="Arial" w:hAnsi="Arial" w:eastAsia="Arial"/>
                <w:b w:val="0"/>
                <w:i w:val="0"/>
                <w:sz w:val="14"/>
              </w:rPr>
              <w:t>A normal final count needs two Bellwether cash-authorised people: one counter and one independent verifier. Mere building presence is not a cash-control role.</w:t>
            </w:r>
          </w:p>
        </w:tc>
        <w:tc>
          <w:tcPr>
            <w:tcW w:type="dxa" w:w="3614"/>
            <w:shd w:fill="E7F3F2" w:val="clear"/>
            <w:tcMar>
              <w:top w:w="75" w:type="dxa"/>
              <w:start w:w="80" w:type="dxa"/>
              <w:bottom w:w="70" w:type="dxa"/>
              <w:end w:w="80" w:type="dxa"/>
            </w:tcMar>
            <w:tcBorders>
              <w:bottom w:val="single" w:sz="7" w:color="067C79"/>
            </w:tcBorders>
          </w:tcPr>
          <w:p>
            <w:pPr>
              <w:spacing w:after="20"/>
            </w:pPr>
            <w:r>
              <w:rPr>
                <w:rFonts w:ascii="Arial" w:hAnsi="Arial" w:eastAsia="Arial"/>
                <w:b/>
                <w:i w:val="0"/>
                <w:color w:val="183B56"/>
                <w:sz w:val="16"/>
              </w:rPr>
              <w:t>Quillhaven boundary</w:t>
            </w:r>
          </w:p>
          <w:p>
            <w:pPr>
              <w:pStyle w:val="Small"/>
              <w:spacing w:after="0"/>
            </w:pPr>
            <w:r>
              <w:rPr>
                <w:rFonts w:ascii="Arial" w:hAnsi="Arial" w:eastAsia="Arial"/>
                <w:b w:val="0"/>
                <w:i w:val="0"/>
                <w:sz w:val="14"/>
              </w:rPr>
              <w:t>Quillhaven officers provide physical security, access/lockup support and incident response only. They never count, handle, approve, attest to, or take custody of Bellwether cash or stock adjustments.</w:t>
            </w:r>
          </w:p>
        </w:tc>
        <w:tc>
          <w:tcPr>
            <w:tcW w:type="dxa" w:w="3614"/>
            <w:shd w:fill="FFF3D9" w:val="clear"/>
            <w:tcMar>
              <w:top w:w="75" w:type="dxa"/>
              <w:start w:w="80" w:type="dxa"/>
              <w:bottom w:w="70" w:type="dxa"/>
              <w:end w:w="80" w:type="dxa"/>
            </w:tcMar>
            <w:tcBorders>
              <w:bottom w:val="single" w:sz="7" w:color="A66A00"/>
            </w:tcBorders>
          </w:tcPr>
          <w:p>
            <w:pPr>
              <w:spacing w:after="20"/>
            </w:pPr>
            <w:r>
              <w:rPr>
                <w:rFonts w:ascii="Arial" w:hAnsi="Arial" w:eastAsia="Arial"/>
                <w:b/>
                <w:i w:val="0"/>
                <w:color w:val="183B56"/>
                <w:sz w:val="16"/>
              </w:rPr>
              <w:t>No artificial balancing</w:t>
            </w:r>
          </w:p>
          <w:p>
            <w:pPr>
              <w:pStyle w:val="Small"/>
              <w:spacing w:after="0"/>
            </w:pPr>
            <w:r>
              <w:rPr>
                <w:rFonts w:ascii="Arial" w:hAnsi="Arial" w:eastAsia="Arial"/>
                <w:b w:val="0"/>
                <w:i w:val="0"/>
                <w:sz w:val="14"/>
              </w:rPr>
              <w:t>A cash difference stays in the cash-variance record. Never use a shrink adjustment, stock write-off, sale, refund or similar entry to make a till appear to balance.</w:t>
            </w:r>
          </w:p>
        </w:tc>
      </w:tr>
    </w:tbl>
    <w:p>
      <w:pPr>
        <w:pStyle w:val="Section"/>
        <w:spacing w:before="80" w:after="20"/>
        <w:keepNext/>
      </w:pPr>
      <w:r>
        <w:rPr>
          <w:rFonts w:ascii="Arial" w:hAnsi="Arial" w:eastAsia="Arial"/>
          <w:b/>
          <w:i w:val="0"/>
          <w:color w:val="183B56"/>
          <w:sz w:val="24"/>
        </w:rPr>
        <w:t>Review basis - like-for-like closing-day comparison</w:t>
      </w:r>
    </w:p>
    <w:tbl>
      <w:tblPr>
        <w:tblW w:type="auto" w:w="0"/>
        <w:jc w:val="center"/>
        <w:tblLayout w:type="fixed"/>
        <w:tblLook w:firstColumn="1" w:firstRow="1" w:lastColumn="0" w:lastRow="0" w:noHBand="0" w:noVBand="1" w:val="04A0"/>
      </w:tblPr>
      <w:tblGrid>
        <w:gridCol w:w="2714"/>
        <w:gridCol w:w="2714"/>
        <w:gridCol w:w="2714"/>
        <w:gridCol w:w="2714"/>
      </w:tblGrid>
      <w:tr>
        <w:trPr>
          <w:tblHeader w:val="true"/>
        </w:trPr>
        <w:tc>
          <w:tcPr>
            <w:tcW w:type="dxa" w:w="2448"/>
            <w:shd w:fill="183B56" w:val="clear"/>
            <w:tcMar>
              <w:top w:w="45" w:type="dxa"/>
              <w:start w:w="55" w:type="dxa"/>
              <w:bottom w:w="45" w:type="dxa"/>
              <w:end w:w="55" w:type="dxa"/>
            </w:tcMar>
          </w:tcPr>
          <w:p>
            <w:pPr>
              <w:spacing w:after="0"/>
              <w:jc w:val="left"/>
            </w:pPr>
            <w:r>
              <w:rPr>
                <w:rFonts w:ascii="Arial" w:hAnsi="Arial" w:eastAsia="Arial"/>
                <w:b/>
                <w:i w:val="0"/>
                <w:color w:val="FFFFFF"/>
                <w:sz w:val="13"/>
              </w:rPr>
              <w:t>Measure</w:t>
            </w:r>
          </w:p>
        </w:tc>
        <w:tc>
          <w:tcPr>
            <w:tcW w:type="dxa" w:w="2664"/>
            <w:shd w:fill="183B56" w:val="clear"/>
            <w:tcMar>
              <w:top w:w="45" w:type="dxa"/>
              <w:start w:w="55" w:type="dxa"/>
              <w:bottom w:w="45" w:type="dxa"/>
              <w:end w:w="55" w:type="dxa"/>
            </w:tcMar>
          </w:tcPr>
          <w:p>
            <w:pPr>
              <w:spacing w:after="0"/>
              <w:jc w:val="center"/>
            </w:pPr>
            <w:r>
              <w:rPr>
                <w:rFonts w:ascii="Arial" w:hAnsi="Arial" w:eastAsia="Arial"/>
                <w:b/>
                <w:i w:val="0"/>
                <w:color w:val="FFFFFF"/>
                <w:sz w:val="13"/>
              </w:rPr>
              <w:t>Preceding four weeks</w:t>
              <w:br/>
              <w:t>(20 closes)</w:t>
            </w:r>
          </w:p>
        </w:tc>
        <w:tc>
          <w:tcPr>
            <w:tcW w:type="dxa" w:w="2664"/>
            <w:shd w:fill="183B56" w:val="clear"/>
            <w:tcMar>
              <w:top w:w="45" w:type="dxa"/>
              <w:start w:w="55" w:type="dxa"/>
              <w:bottom w:w="45" w:type="dxa"/>
              <w:end w:w="55" w:type="dxa"/>
            </w:tcMar>
          </w:tcPr>
          <w:p>
            <w:pPr>
              <w:spacing w:after="0"/>
              <w:jc w:val="center"/>
            </w:pPr>
            <w:r>
              <w:rPr>
                <w:rFonts w:ascii="Arial" w:hAnsi="Arial" w:eastAsia="Arial"/>
                <w:b/>
                <w:i w:val="0"/>
                <w:color w:val="FFFFFF"/>
                <w:sz w:val="13"/>
              </w:rPr>
              <w:t>Most recent five days</w:t>
              <w:br/>
              <w:t>(5 closes)</w:t>
            </w:r>
          </w:p>
        </w:tc>
        <w:tc>
          <w:tcPr>
            <w:tcW w:type="dxa" w:w="3096"/>
            <w:shd w:fill="183B56" w:val="clear"/>
            <w:tcMar>
              <w:top w:w="45" w:type="dxa"/>
              <w:start w:w="55" w:type="dxa"/>
              <w:bottom w:w="45" w:type="dxa"/>
              <w:end w:w="55" w:type="dxa"/>
            </w:tcMar>
          </w:tcPr>
          <w:p>
            <w:pPr>
              <w:spacing w:after="0"/>
              <w:jc w:val="center"/>
            </w:pPr>
            <w:r>
              <w:rPr>
                <w:rFonts w:ascii="Arial" w:hAnsi="Arial" w:eastAsia="Arial"/>
                <w:b/>
                <w:i w:val="0"/>
                <w:color w:val="FFFFFF"/>
                <w:sz w:val="13"/>
              </w:rPr>
              <w:t>Change / reading</w:t>
            </w:r>
          </w:p>
        </w:tc>
      </w:tr>
      <w:tr>
        <w:trPr>
          <w:cantSplit/>
        </w:trPr>
        <w:tc>
          <w:tcPr>
            <w:tcW w:type="dxa" w:w="2448"/>
            <w:vAlign w:val="center"/>
            <w:shd w:fill="FFFFFF" w:val="clear"/>
            <w:tcMar>
              <w:top w:w="38" w:type="dxa"/>
              <w:start w:w="55" w:type="dxa"/>
              <w:bottom w:w="38" w:type="dxa"/>
              <w:end w:w="55" w:type="dxa"/>
            </w:tcMar>
            <w:tcBorders>
              <w:bottom w:val="single" w:sz="3" w:color="C8D0D6"/>
            </w:tcBorders>
          </w:tcPr>
          <w:p>
            <w:pPr>
              <w:spacing w:after="0"/>
            </w:pPr>
            <w:r>
              <w:rPr>
                <w:rFonts w:ascii="Arial" w:hAnsi="Arial" w:eastAsia="Arial"/>
                <w:b/>
                <w:i w:val="0"/>
                <w:color w:val="1D2733"/>
                <w:sz w:val="13"/>
              </w:rPr>
              <w:t>Gross absolute till variance</w:t>
            </w:r>
          </w:p>
        </w:tc>
        <w:tc>
          <w:tcPr>
            <w:tcW w:type="dxa" w:w="2664"/>
            <w:vAlign w:val="center"/>
            <w:shd w:fill="FFFFFF"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£96</w:t>
              <w:br/>
              <w:t>£4.80 per close</w:t>
            </w:r>
          </w:p>
        </w:tc>
        <w:tc>
          <w:tcPr>
            <w:tcW w:type="dxa" w:w="2664"/>
            <w:vAlign w:val="center"/>
            <w:shd w:fill="FFFFFF"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£214</w:t>
              <w:br/>
              <w:t>£42.80 per close</w:t>
            </w:r>
          </w:p>
        </w:tc>
        <w:tc>
          <w:tcPr>
            <w:tcW w:type="dxa" w:w="3096"/>
            <w:vAlign w:val="center"/>
            <w:shd w:fill="FFFFFF"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+£38.00 per close</w:t>
              <w:br/>
              <w:t>+791.7%</w:t>
            </w:r>
          </w:p>
        </w:tc>
      </w:tr>
      <w:tr>
        <w:trPr>
          <w:cantSplit/>
        </w:trPr>
        <w:tc>
          <w:tcPr>
            <w:tcW w:type="dxa" w:w="2448"/>
            <w:vAlign w:val="center"/>
            <w:shd w:fill="F2F4F5" w:val="clear"/>
            <w:tcMar>
              <w:top w:w="38" w:type="dxa"/>
              <w:start w:w="55" w:type="dxa"/>
              <w:bottom w:w="38" w:type="dxa"/>
              <w:end w:w="55" w:type="dxa"/>
            </w:tcMar>
            <w:tcBorders>
              <w:bottom w:val="single" w:sz="3" w:color="C8D0D6"/>
            </w:tcBorders>
          </w:tcPr>
          <w:p>
            <w:pPr>
              <w:spacing w:after="0"/>
            </w:pPr>
            <w:r>
              <w:rPr>
                <w:rFonts w:ascii="Arial" w:hAnsi="Arial" w:eastAsia="Arial"/>
                <w:b/>
                <w:i w:val="0"/>
                <w:color w:val="1D2733"/>
                <w:sz w:val="13"/>
              </w:rPr>
              <w:t>Till-level variance events</w:t>
            </w:r>
          </w:p>
        </w:tc>
        <w:tc>
          <w:tcPr>
            <w:tcW w:type="dxa" w:w="2664"/>
            <w:vAlign w:val="center"/>
            <w:shd w:fill="F2F4F5"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6</w:t>
              <w:br/>
              <w:t>0.30 per close</w:t>
            </w:r>
          </w:p>
        </w:tc>
        <w:tc>
          <w:tcPr>
            <w:tcW w:type="dxa" w:w="2664"/>
            <w:vAlign w:val="center"/>
            <w:shd w:fill="F2F4F5"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9</w:t>
              <w:br/>
              <w:t>1.80 per close</w:t>
            </w:r>
          </w:p>
        </w:tc>
        <w:tc>
          <w:tcPr>
            <w:tcW w:type="dxa" w:w="3096"/>
            <w:vAlign w:val="center"/>
            <w:shd w:fill="F2F4F5"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+1.50 per close</w:t>
              <w:br/>
              <w:t>+500.0%</w:t>
            </w:r>
          </w:p>
        </w:tc>
      </w:tr>
      <w:tr>
        <w:trPr>
          <w:cantSplit/>
        </w:trPr>
        <w:tc>
          <w:tcPr>
            <w:tcW w:type="dxa" w:w="2448"/>
            <w:vAlign w:val="center"/>
            <w:shd w:fill="FFFFFF" w:val="clear"/>
            <w:tcMar>
              <w:top w:w="38" w:type="dxa"/>
              <w:start w:w="55" w:type="dxa"/>
              <w:bottom w:w="38" w:type="dxa"/>
              <w:end w:w="55" w:type="dxa"/>
            </w:tcMar>
            <w:tcBorders>
              <w:bottom w:val="single" w:sz="3" w:color="C8D0D6"/>
            </w:tcBorders>
          </w:tcPr>
          <w:p>
            <w:pPr>
              <w:spacing w:after="0"/>
            </w:pPr>
            <w:r>
              <w:rPr>
                <w:rFonts w:ascii="Arial" w:hAnsi="Arial" w:eastAsia="Arial"/>
                <w:b/>
                <w:i w:val="0"/>
                <w:color w:val="1D2733"/>
                <w:sz w:val="13"/>
              </w:rPr>
              <w:t>Largest single variance</w:t>
            </w:r>
          </w:p>
        </w:tc>
        <w:tc>
          <w:tcPr>
            <w:tcW w:type="dxa" w:w="2664"/>
            <w:vAlign w:val="center"/>
            <w:shd w:fill="FFFFFF"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£28</w:t>
            </w:r>
          </w:p>
        </w:tc>
        <w:tc>
          <w:tcPr>
            <w:tcW w:type="dxa" w:w="2664"/>
            <w:vAlign w:val="center"/>
            <w:shd w:fill="FFFFFF"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£74</w:t>
            </w:r>
          </w:p>
        </w:tc>
        <w:tc>
          <w:tcPr>
            <w:tcW w:type="dxa" w:w="3096"/>
            <w:vAlign w:val="center"/>
            <w:shd w:fill="FFFFFF"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+£46</w:t>
              <w:br/>
              <w:t>+164.3%</w:t>
            </w:r>
          </w:p>
        </w:tc>
      </w:tr>
      <w:tr>
        <w:trPr>
          <w:cantSplit/>
        </w:trPr>
        <w:tc>
          <w:tcPr>
            <w:tcW w:type="dxa" w:w="2448"/>
            <w:vAlign w:val="center"/>
            <w:shd w:fill="F2F4F5" w:val="clear"/>
            <w:tcMar>
              <w:top w:w="38" w:type="dxa"/>
              <w:start w:w="55" w:type="dxa"/>
              <w:bottom w:w="38" w:type="dxa"/>
              <w:end w:w="55" w:type="dxa"/>
            </w:tcMar>
            <w:tcBorders>
              <w:bottom w:val="single" w:sz="3" w:color="C8D0D6"/>
            </w:tcBorders>
          </w:tcPr>
          <w:p>
            <w:pPr>
              <w:spacing w:after="0"/>
            </w:pPr>
            <w:r>
              <w:rPr>
                <w:rFonts w:ascii="Arial" w:hAnsi="Arial" w:eastAsia="Arial"/>
                <w:b/>
                <w:i w:val="0"/>
                <w:color w:val="1D2733"/>
                <w:sz w:val="13"/>
              </w:rPr>
              <w:t>Cash/till-referenced shrink comments</w:t>
            </w:r>
          </w:p>
        </w:tc>
        <w:tc>
          <w:tcPr>
            <w:tcW w:type="dxa" w:w="2664"/>
            <w:vAlign w:val="center"/>
            <w:shd w:fill="F2F4F5"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3 adjustments</w:t>
              <w:br/>
              <w:t>£41</w:t>
            </w:r>
          </w:p>
        </w:tc>
        <w:tc>
          <w:tcPr>
            <w:tcW w:type="dxa" w:w="2664"/>
            <w:vAlign w:val="center"/>
            <w:shd w:fill="F2F4F5"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7 adjustments</w:t>
              <w:br/>
              <w:t>£189</w:t>
            </w:r>
          </w:p>
        </w:tc>
        <w:tc>
          <w:tcPr>
            <w:tcW w:type="dxa" w:w="3096"/>
            <w:vAlign w:val="center"/>
            <w:shd w:fill="F2F4F5" w:val="clear"/>
            <w:tcMar>
              <w:top w:w="38" w:type="dxa"/>
              <w:start w:w="55" w:type="dxa"/>
              <w:bottom w:w="38" w:type="dxa"/>
              <w:end w:w="55" w:type="dxa"/>
            </w:tcMar>
            <w:tcBorders>
              <w:bottom w:val="single" w:sz="3" w:color="C8D0D6"/>
            </w:tcBorders>
          </w:tcPr>
          <w:p>
            <w:pPr>
              <w:spacing w:after="0"/>
              <w:jc w:val="center"/>
            </w:pPr>
            <w:r>
              <w:rPr>
                <w:rFonts w:ascii="Arial" w:hAnsi="Arial" w:eastAsia="Arial"/>
                <w:b w:val="0"/>
                <w:i w:val="0"/>
                <w:color w:val="1D2733"/>
                <w:sz w:val="13"/>
              </w:rPr>
              <w:t>+4 adjustments</w:t>
              <w:br/>
              <w:t>+£148</w:t>
            </w:r>
          </w:p>
        </w:tc>
      </w:tr>
    </w:tbl>
    <w:p>
      <w:pPr>
        <w:pStyle w:val="Small"/>
        <w:spacing w:before="40" w:after="40"/>
      </w:pPr>
      <w:r>
        <w:rPr>
          <w:rFonts w:ascii="Arial" w:hAnsi="Arial" w:eastAsia="Arial"/>
          <w:b/>
          <w:i w:val="0"/>
          <w:color w:val="183B56"/>
          <w:sz w:val="14"/>
        </w:rPr>
        <w:t xml:space="preserve">Reading: </w:t>
      </w:r>
      <w:r>
        <w:rPr>
          <w:rFonts w:ascii="Arial" w:hAnsi="Arial" w:eastAsia="Arial"/>
          <w:b w:val="0"/>
          <w:i w:val="0"/>
          <w:sz w:val="14"/>
        </w:rPr>
        <w:t xml:space="preserve">the five-day period is materially worse after allowing for its shorter duration: gross absolute till variance is </w:t>
      </w:r>
      <w:r>
        <w:rPr>
          <w:rFonts w:ascii="Arial" w:hAnsi="Arial" w:eastAsia="Arial"/>
          <w:b/>
          <w:i w:val="0"/>
          <w:sz w:val="14"/>
        </w:rPr>
        <w:t xml:space="preserve">£42.80 per close versus £4.80, and events are 1.80 versus 0.30 per close. </w:t>
      </w:r>
      <w:r>
        <w:rPr>
          <w:rFonts w:ascii="Arial" w:hAnsi="Arial" w:eastAsia="Arial"/>
          <w:b w:val="0"/>
          <w:i w:val="0"/>
          <w:sz w:val="14"/>
        </w:rPr>
        <w:t>Cash/till wording in stock-adjustment comments is a control warning, not proof of cause. No transaction volumes, sales values, till-user hours, causal evidence or individual evidence were supplied; do not attribute this pattern to a person, the Quillhaven transition or misconduct.</w:t>
      </w:r>
    </w:p>
    <w:p>
      <w:pPr>
        <w:pStyle w:val="Section"/>
        <w:spacing w:before="80" w:after="20"/>
        <w:keepNext/>
      </w:pPr>
      <w:r>
        <w:rPr>
          <w:rFonts w:ascii="Arial" w:hAnsi="Arial" w:eastAsia="Arial"/>
          <w:b/>
          <w:i w:val="0"/>
          <w:color w:val="183B56"/>
          <w:sz w:val="24"/>
        </w:rPr>
        <w:t>England and Scotland applicability</w:t>
      </w:r>
    </w:p>
    <w:p>
      <w:pPr>
        <w:pStyle w:val="Small"/>
        <w:spacing w:after="60"/>
      </w:pPr>
      <w:r>
        <w:rPr>
          <w:rFonts w:ascii="Arial" w:hAnsi="Arial" w:eastAsia="Arial"/>
          <w:b w:val="0"/>
          <w:i/>
          <w:color w:val="5D6873"/>
          <w:sz w:val="15"/>
        </w:rPr>
        <w:t>The supplied windows are operating requirements, not statements of law. Common cash controls above apply in both locations.</w:t>
      </w:r>
    </w:p>
    <w:tbl>
      <w:tblPr>
        <w:tblW w:type="auto" w:w="0"/>
        <w:jc w:val="center"/>
        <w:tblLayout w:type="fixed"/>
        <w:tblLook w:firstColumn="1" w:firstRow="1" w:lastColumn="0" w:lastRow="0" w:noHBand="0" w:noVBand="1" w:val="04A0"/>
      </w:tblPr>
      <w:tblGrid>
        <w:gridCol w:w="3619"/>
        <w:gridCol w:w="3619"/>
        <w:gridCol w:w="3619"/>
      </w:tblGrid>
      <w:tr>
        <w:trPr>
          <w:tblHeader w:val="true"/>
        </w:trPr>
        <w:tc>
          <w:tcPr>
            <w:tcW w:type="dxa" w:w="1584"/>
            <w:shd w:fill="183B56" w:val="clear"/>
            <w:tcMar>
              <w:top w:w="45" w:type="dxa"/>
              <w:start w:w="55" w:type="dxa"/>
              <w:bottom w:w="45" w:type="dxa"/>
              <w:end w:w="55" w:type="dxa"/>
            </w:tcMar>
          </w:tcPr>
          <w:p>
            <w:pPr>
              <w:spacing w:after="0"/>
            </w:pPr>
            <w:r>
              <w:rPr>
                <w:rFonts w:ascii="Arial" w:hAnsi="Arial" w:eastAsia="Arial"/>
                <w:b/>
                <w:i w:val="0"/>
                <w:color w:val="FFFFFF"/>
                <w:sz w:val="14"/>
              </w:rPr>
              <w:t>Applies to</w:t>
            </w:r>
          </w:p>
        </w:tc>
        <w:tc>
          <w:tcPr>
            <w:tcW w:type="dxa" w:w="4608"/>
            <w:shd w:fill="183B56" w:val="clear"/>
            <w:tcMar>
              <w:top w:w="45" w:type="dxa"/>
              <w:start w:w="55" w:type="dxa"/>
              <w:bottom w:w="45" w:type="dxa"/>
              <w:end w:w="55" w:type="dxa"/>
            </w:tcMar>
          </w:tcPr>
          <w:p>
            <w:pPr>
              <w:spacing w:after="0"/>
            </w:pPr>
            <w:r>
              <w:rPr>
                <w:rFonts w:ascii="Arial" w:hAnsi="Arial" w:eastAsia="Arial"/>
                <w:b/>
                <w:i w:val="0"/>
                <w:color w:val="FFFFFF"/>
                <w:sz w:val="14"/>
              </w:rPr>
              <w:t>Lockup operating requirement</w:t>
            </w:r>
          </w:p>
        </w:tc>
        <w:tc>
          <w:tcPr>
            <w:tcW w:type="dxa" w:w="4680"/>
            <w:shd w:fill="183B56" w:val="clear"/>
            <w:tcMar>
              <w:top w:w="45" w:type="dxa"/>
              <w:start w:w="55" w:type="dxa"/>
              <w:bottom w:w="45" w:type="dxa"/>
              <w:end w:w="55" w:type="dxa"/>
            </w:tcMar>
          </w:tcPr>
          <w:p>
            <w:pPr>
              <w:spacing w:after="0"/>
            </w:pPr>
            <w:r>
              <w:rPr>
                <w:rFonts w:ascii="Arial" w:hAnsi="Arial" w:eastAsia="Arial"/>
                <w:b/>
                <w:i w:val="0"/>
                <w:color w:val="FFFFFF"/>
                <w:sz w:val="14"/>
              </w:rPr>
              <w:t>Local information</w:t>
            </w:r>
          </w:p>
        </w:tc>
      </w:tr>
      <w:tr>
        <w:trPr>
          <w:cantSplit/>
        </w:trPr>
        <w:tc>
          <w:tcPr>
            <w:tcW w:type="dxa" w:w="1584"/>
            <w:shd w:fill="EAF0F6" w:val="clear"/>
            <w:tcMar>
              <w:top w:w="45" w:type="dxa"/>
              <w:start w:w="55" w:type="dxa"/>
              <w:bottom w:w="45" w:type="dxa"/>
              <w:end w:w="55" w:type="dxa"/>
            </w:tcMar>
            <w:tcBorders>
              <w:bottom w:val="single" w:sz="3" w:color="C8D0D6"/>
            </w:tcBorders>
          </w:tcPr>
          <w:p>
            <w:pPr>
              <w:spacing w:after="0"/>
            </w:pPr>
            <w:r>
              <w:rPr>
                <w:rFonts w:ascii="Arial" w:hAnsi="Arial" w:eastAsia="Arial"/>
                <w:b/>
                <w:i w:val="0"/>
                <w:sz w:val="14"/>
              </w:rPr>
              <w:t>England</w:t>
            </w:r>
          </w:p>
        </w:tc>
        <w:tc>
          <w:tcPr>
            <w:tcW w:type="dxa" w:w="4608"/>
            <w:shd w:fill="EAF0F6" w:val="clear"/>
            <w:tcMar>
              <w:top w:w="45" w:type="dxa"/>
              <w:start w:w="55" w:type="dxa"/>
              <w:bottom w:w="45" w:type="dxa"/>
              <w:end w:w="55" w:type="dxa"/>
            </w:tcMar>
            <w:tcBorders>
              <w:bottom w:val="single" w:sz="3" w:color="C8D0D6"/>
            </w:tcBorders>
          </w:tcPr>
          <w:p>
            <w:pPr>
              <w:spacing w:after="0"/>
            </w:pPr>
            <w:r>
              <w:rPr>
                <w:rFonts w:ascii="Arial" w:hAnsi="Arial" w:eastAsia="Arial"/>
                <w:b w:val="0"/>
                <w:i w:val="0"/>
                <w:sz w:val="14"/>
              </w:rPr>
              <w:t>Quillhaven lockup window ends at 22:15. Treat it as the supplied operating deadline, not a statutory requirement.</w:t>
            </w:r>
          </w:p>
        </w:tc>
        <w:tc>
          <w:tcPr>
            <w:tcW w:type="dxa" w:w="4680"/>
            <w:shd w:fill="EAF0F6" w:val="clear"/>
            <w:tcMar>
              <w:top w:w="45" w:type="dxa"/>
              <w:start w:w="55" w:type="dxa"/>
              <w:bottom w:w="45" w:type="dxa"/>
              <w:end w:w="55" w:type="dxa"/>
            </w:tcMar>
            <w:tcBorders>
              <w:bottom w:val="single" w:sz="3" w:color="C8D0D6"/>
            </w:tcBorders>
          </w:tcPr>
          <w:p>
            <w:pPr>
              <w:spacing w:after="0"/>
            </w:pPr>
            <w:r>
              <w:rPr>
                <w:rFonts w:ascii="Arial" w:hAnsi="Arial" w:eastAsia="Arial"/>
                <w:b w:val="0"/>
                <w:i w:val="0"/>
                <w:sz w:val="14"/>
              </w:rPr>
              <w:t>Use the England site’s current emergency instructions, assembly point and contact route. Do not assume another site’s details apply.</w:t>
            </w:r>
          </w:p>
        </w:tc>
      </w:tr>
      <w:tr>
        <w:trPr>
          <w:cantSplit/>
        </w:trPr>
        <w:tc>
          <w:tcPr>
            <w:tcW w:type="dxa" w:w="1584"/>
            <w:shd w:fill="E7F3F2" w:val="clear"/>
            <w:tcMar>
              <w:top w:w="45" w:type="dxa"/>
              <w:start w:w="55" w:type="dxa"/>
              <w:bottom w:w="45" w:type="dxa"/>
              <w:end w:w="55" w:type="dxa"/>
            </w:tcMar>
            <w:tcBorders>
              <w:bottom w:val="single" w:sz="3" w:color="C8D0D6"/>
            </w:tcBorders>
          </w:tcPr>
          <w:p>
            <w:pPr>
              <w:spacing w:after="0"/>
            </w:pPr>
            <w:r>
              <w:rPr>
                <w:rFonts w:ascii="Arial" w:hAnsi="Arial" w:eastAsia="Arial"/>
                <w:b/>
                <w:i w:val="0"/>
                <w:sz w:val="14"/>
              </w:rPr>
              <w:t>Scotland</w:t>
            </w:r>
          </w:p>
        </w:tc>
        <w:tc>
          <w:tcPr>
            <w:tcW w:type="dxa" w:w="4608"/>
            <w:shd w:fill="E7F3F2" w:val="clear"/>
            <w:tcMar>
              <w:top w:w="45" w:type="dxa"/>
              <w:start w:w="55" w:type="dxa"/>
              <w:bottom w:w="45" w:type="dxa"/>
              <w:end w:w="55" w:type="dxa"/>
            </w:tcMar>
            <w:tcBorders>
              <w:bottom w:val="single" w:sz="3" w:color="C8D0D6"/>
            </w:tcBorders>
          </w:tcPr>
          <w:p>
            <w:pPr>
              <w:spacing w:after="0"/>
            </w:pPr>
            <w:r>
              <w:rPr>
                <w:rFonts w:ascii="Arial" w:hAnsi="Arial" w:eastAsia="Arial"/>
                <w:b w:val="0"/>
                <w:i w:val="0"/>
                <w:sz w:val="14"/>
              </w:rPr>
              <w:t>Quillhaven lockup window ends at 22:00. Treat it as the supplied operating deadline, not a statutory requirement.</w:t>
            </w:r>
          </w:p>
        </w:tc>
        <w:tc>
          <w:tcPr>
            <w:tcW w:type="dxa" w:w="4680"/>
            <w:shd w:fill="E7F3F2" w:val="clear"/>
            <w:tcMar>
              <w:top w:w="45" w:type="dxa"/>
              <w:start w:w="55" w:type="dxa"/>
              <w:bottom w:w="45" w:type="dxa"/>
              <w:end w:w="55" w:type="dxa"/>
            </w:tcMar>
            <w:tcBorders>
              <w:bottom w:val="single" w:sz="3" w:color="C8D0D6"/>
            </w:tcBorders>
          </w:tcPr>
          <w:p>
            <w:pPr>
              <w:spacing w:after="0"/>
            </w:pPr>
            <w:r>
              <w:rPr>
                <w:rFonts w:ascii="Arial" w:hAnsi="Arial" w:eastAsia="Arial"/>
                <w:b w:val="0"/>
                <w:i w:val="0"/>
                <w:sz w:val="14"/>
              </w:rPr>
              <w:t>Use the Scotland site’s current emergency instructions, assembly point and contact route. Do not assume another site’s details apply.</w:t>
            </w:r>
          </w:p>
        </w:tc>
      </w:tr>
    </w:tbl>
    <w:p>
      <w:r>
        <w:br w:type="page"/>
      </w:r>
    </w:p>
    <w:p>
      <w:pPr>
        <w:pStyle w:val="Section"/>
        <w:spacing w:before="80" w:after="20"/>
        <w:keepNext/>
      </w:pPr>
      <w:r>
        <w:rPr>
          <w:rFonts w:ascii="Arial" w:hAnsi="Arial" w:eastAsia="Arial"/>
          <w:b/>
          <w:i w:val="0"/>
          <w:color w:val="183B56"/>
          <w:sz w:val="24"/>
        </w:rPr>
        <w:t>At the close: choose the path</w:t>
      </w:r>
    </w:p>
    <w:tbl>
      <w:tblPr>
        <w:tblW w:type="auto" w:w="0"/>
        <w:jc w:val="center"/>
        <w:tblLayout w:type="fixed"/>
        <w:tblLook w:firstColumn="1" w:firstRow="1" w:lastColumn="0" w:lastRow="0" w:noHBand="0" w:noVBand="1" w:val="04A0"/>
      </w:tblPr>
      <w:tblGrid>
        <w:gridCol w:w="5429"/>
        <w:gridCol w:w="5429"/>
      </w:tblGrid>
      <w:tr>
        <w:tc>
          <w:tcPr>
            <w:tcW w:type="dxa" w:w="5429"/>
            <w:shd w:fill="FCEBEC" w:val="clear"/>
            <w:tcMar>
              <w:top w:w="75" w:type="dxa"/>
              <w:start w:w="90" w:type="dxa"/>
              <w:bottom w:w="70" w:type="dxa"/>
              <w:end w:w="90" w:type="dxa"/>
            </w:tcMar>
            <w:tcBorders>
              <w:bottom w:val="single" w:sz="7" w:color="9A2E2E"/>
            </w:tcBorders>
          </w:tcPr>
          <w:p>
            <w:pPr>
              <w:spacing w:after="20"/>
            </w:pPr>
            <w:r>
              <w:rPr>
                <w:rFonts w:ascii="Arial" w:hAnsi="Arial" w:eastAsia="Arial"/>
                <w:b/>
                <w:i w:val="0"/>
                <w:color w:val="9A2E2E"/>
                <w:sz w:val="15"/>
              </w:rPr>
              <w:t>SAFETY FIRST</w:t>
            </w:r>
          </w:p>
          <w:p>
            <w:pPr>
              <w:pStyle w:val="Small"/>
              <w:spacing w:after="0"/>
            </w:pPr>
            <w:r>
              <w:rPr>
                <w:rFonts w:ascii="Arial" w:hAnsi="Arial" w:eastAsia="Arial"/>
                <w:b w:val="0"/>
                <w:i w:val="0"/>
                <w:sz w:val="14"/>
              </w:rPr>
              <w:t>Suspected forced entry, threatening person or coercion? Stop normal work and go to the Severe Safety Exception on page 4. It overrides counting, variance and lone-close steps.</w:t>
            </w:r>
          </w:p>
        </w:tc>
        <w:tc>
          <w:tcPr>
            <w:tcW w:type="dxa" w:w="5429"/>
            <w:shd w:fill="E7F3F2" w:val="clear"/>
            <w:tcMar>
              <w:top w:w="75" w:type="dxa"/>
              <w:start w:w="90" w:type="dxa"/>
              <w:bottom w:w="70" w:type="dxa"/>
              <w:end w:w="90" w:type="dxa"/>
            </w:tcMar>
            <w:tcBorders>
              <w:bottom w:val="single" w:sz="7" w:color="067C79"/>
            </w:tcBorders>
          </w:tcPr>
          <w:p>
            <w:pPr>
              <w:spacing w:after="20"/>
            </w:pPr>
            <w:r>
              <w:rPr>
                <w:rFonts w:ascii="Arial" w:hAnsi="Arial" w:eastAsia="Arial"/>
                <w:b/>
                <w:i w:val="0"/>
                <w:color w:val="067C79"/>
                <w:sz w:val="15"/>
              </w:rPr>
              <w:t>STAFFING AND TIME CHECK</w:t>
            </w:r>
          </w:p>
          <w:p>
            <w:pPr>
              <w:pStyle w:val="Small"/>
              <w:spacing w:after="0"/>
            </w:pPr>
            <w:r>
              <w:rPr>
                <w:rFonts w:ascii="Arial" w:hAnsi="Arial" w:eastAsia="Arial"/>
                <w:b w:val="0"/>
                <w:i w:val="0"/>
                <w:sz w:val="14"/>
              </w:rPr>
              <w:t>At the start of closing preparations, identify the site (England 22:15 / Scotland 22:00), confirm the current local emergency plan, and confirm whether two Bellwether-authorised people can complete before the applicable window. If not, use page 3 immediately.</w:t>
            </w:r>
          </w:p>
        </w:tc>
      </w:tr>
    </w:tbl>
    <w:p>
      <w:pPr>
        <w:pStyle w:val="Small"/>
        <w:spacing w:before="40" w:after="60"/>
      </w:pPr>
      <w:r>
        <w:rPr>
          <w:rFonts w:ascii="Arial" w:hAnsi="Arial" w:eastAsia="Arial"/>
          <w:b/>
          <w:i w:val="0"/>
          <w:color w:val="9A2E2E"/>
          <w:sz w:val="14"/>
        </w:rPr>
        <w:t>Do not discover a one-person conflict at final count. A Quillhaven officer may support access, exit and lockup only; their building presence cannot satisfy the second Bellwether cash-control role.</w:t>
      </w:r>
    </w:p>
    <w:p>
      <w:pPr>
        <w:pStyle w:val="Section"/>
        <w:spacing w:before="80" w:after="20"/>
        <w:keepNext/>
      </w:pPr>
      <w:r>
        <w:rPr>
          <w:rFonts w:ascii="Arial" w:hAnsi="Arial" w:eastAsia="Arial"/>
          <w:b/>
          <w:i w:val="0"/>
          <w:color w:val="183B56"/>
          <w:sz w:val="24"/>
        </w:rPr>
        <w:t>Path A - normal close with two authorised Bellwether people</w:t>
      </w:r>
    </w:p>
    <w:tbl>
      <w:tblPr>
        <w:tblW w:type="auto" w:w="0"/>
        <w:jc w:val="center"/>
        <w:tblLayout w:type="fixed"/>
        <w:tblLook w:firstColumn="1" w:firstRow="1" w:lastColumn="0" w:lastRow="0" w:noHBand="0" w:noVBand="1" w:val="04A0"/>
      </w:tblPr>
      <w:tblGrid>
        <w:gridCol w:w="3619"/>
        <w:gridCol w:w="3619"/>
        <w:gridCol w:w="3619"/>
      </w:tblGrid>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1</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End trading; control access</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Complete the established end-of-trading stage. Restrict the count area to the authorised counter and independent verifier; do not expose cash to other staff or Quillhaven. Keep every till separately identified from the outset.</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2</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Capture and original count</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For one till at a time, preserve the till identifier and original expected balance/till report. The counter records the original actual amount and time. Do not pool cash or offset one till against another.</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3</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Independent verification</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The verifier independently checks the same till as the single controlled recount. Compare to expected and resolve transcription, denomination or till-identity errors without overwriting the original count. Both authorised people attest only to a completed count result.</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4</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Stop and record a difference</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Never keep recounting until a drawer balances. DRAFT APPROVAL ASSUMPTION: one independent controlled recount per till is the maximum. If still unexplained, preserve both results, record the over/short and escalate; safety and the lockup window always stop further recounting.</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5</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Protect cash and evidence</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Use controlled tamper-evident packaging; record its unique package/seal ID, time, site and linked till(s), count status and report reference. Put it in approved secure storage with restricted access. Packaging and storage method/access list require local approval confirmation.</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6</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Recorded handover and lockup</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Every custody transfer is between authorised Bellwether roles and records transfer, receipt and package/seal identity. If integrity is not confirmed, record and escalate it. Give Quillhaven only physical-security status, confirm people have exited or are covered by the site plan, secure access points and finish lockup by the applicable window.</w:t>
            </w:r>
          </w:p>
        </w:tc>
      </w:tr>
    </w:tbl>
    <w:tbl>
      <w:tblPr>
        <w:tblW w:type="auto" w:w="0"/>
        <w:jc w:val="center"/>
        <w:tblLayout w:type="fixed"/>
        <w:tblLook w:firstColumn="1" w:firstRow="1" w:lastColumn="0" w:lastRow="0" w:noHBand="0" w:noVBand="1" w:val="04A0"/>
      </w:tblPr>
      <w:tblGrid>
        <w:gridCol w:w="10858"/>
      </w:tblGrid>
      <w:tr>
        <w:tc>
          <w:tcPr>
            <w:tcW w:type="dxa" w:w="10829"/>
            <w:shd w:fill="FCEBEC" w:val="clear"/>
            <w:tcMar>
              <w:top w:w="95" w:type="dxa"/>
              <w:start w:w="120" w:type="dxa"/>
              <w:bottom w:w="95" w:type="dxa"/>
              <w:end w:w="120" w:type="dxa"/>
            </w:tcMar>
            <w:tcBorders>
              <w:top w:val="single" w:sz="8" w:color="9A2E2E"/>
              <w:left w:val="single" w:sz="18" w:color="9A2E2E"/>
              <w:bottom w:val="single" w:sz="8" w:color="9A2E2E"/>
              <w:right w:val="single" w:sz="8" w:color="9A2E2E"/>
            </w:tcBorders>
          </w:tcPr>
          <w:p>
            <w:pPr>
              <w:spacing w:after="20"/>
            </w:pPr>
            <w:r>
              <w:rPr>
                <w:rFonts w:ascii="Arial" w:hAnsi="Arial" w:eastAsia="Arial"/>
                <w:b/>
                <w:i w:val="0"/>
                <w:color w:val="9A2E2E"/>
                <w:sz w:val="16"/>
              </w:rPr>
              <w:t>RECOUNT RULE - UNAMBIGUOUS STOP</w:t>
            </w:r>
          </w:p>
          <w:p>
            <w:pPr>
              <w:pStyle w:val="Body"/>
              <w:spacing w:after="0"/>
            </w:pPr>
            <w:r>
              <w:rPr>
                <w:rFonts w:ascii="Arial" w:hAnsi="Arial" w:eastAsia="Arial"/>
                <w:b w:val="0"/>
                <w:i w:val="0"/>
                <w:sz w:val="16"/>
              </w:rPr>
              <w:t>The verifier's single independent check is the controlled recount. It does not become an open-ended search for a balancing figure. An unresolved difference is a recorded cash variance and is escalated; it is never a reason to delay safe lockup or leave one person inside after the window.</w:t>
            </w:r>
          </w:p>
        </w:tc>
      </w:tr>
    </w:tbl>
    <w:p>
      <w:pPr>
        <w:spacing w:after="0"/>
      </w:pPr>
    </w:p>
    <w:p>
      <w:r>
        <w:br w:type="page"/>
      </w:r>
    </w:p>
    <w:p>
      <w:pPr>
        <w:pStyle w:val="Section"/>
        <w:spacing w:before="80" w:after="20"/>
        <w:keepNext/>
      </w:pPr>
      <w:r>
        <w:rPr>
          <w:rFonts w:ascii="Arial" w:hAnsi="Arial" w:eastAsia="Arial"/>
          <w:b/>
          <w:i w:val="0"/>
          <w:color w:val="183B56"/>
          <w:sz w:val="24"/>
        </w:rPr>
        <w:t>Path B - one authorised closer: controlled deferral, never a solo final count</w:t>
      </w:r>
    </w:p>
    <w:tbl>
      <w:tblPr>
        <w:tblW w:type="auto" w:w="0"/>
        <w:jc w:val="center"/>
        <w:tblLayout w:type="fixed"/>
        <w:tblLook w:firstColumn="1" w:firstRow="1" w:lastColumn="0" w:lastRow="0" w:noHBand="0" w:noVBand="1" w:val="04A0"/>
      </w:tblPr>
      <w:tblGrid>
        <w:gridCol w:w="10858"/>
      </w:tblGrid>
      <w:tr>
        <w:tc>
          <w:tcPr>
            <w:tcW w:type="dxa" w:w="10829"/>
            <w:shd w:fill="FFF3D9" w:val="clear"/>
            <w:tcMar>
              <w:top w:w="95" w:type="dxa"/>
              <w:start w:w="120" w:type="dxa"/>
              <w:bottom w:w="95" w:type="dxa"/>
              <w:end w:w="120" w:type="dxa"/>
            </w:tcMar>
            <w:tcBorders>
              <w:top w:val="single" w:sz="8" w:color="A66A00"/>
              <w:left w:val="single" w:sz="18" w:color="A66A00"/>
              <w:bottom w:val="single" w:sz="8" w:color="A66A00"/>
              <w:right w:val="single" w:sz="8" w:color="A66A00"/>
            </w:tcBorders>
          </w:tcPr>
          <w:p>
            <w:pPr>
              <w:spacing w:after="20"/>
            </w:pPr>
            <w:r>
              <w:rPr>
                <w:rFonts w:ascii="Arial" w:hAnsi="Arial" w:eastAsia="Arial"/>
                <w:b/>
                <w:i w:val="0"/>
                <w:color w:val="A66A00"/>
                <w:sz w:val="16"/>
              </w:rPr>
              <w:t>TRIGGER AND BOUNDARY</w:t>
            </w:r>
          </w:p>
          <w:p>
            <w:pPr>
              <w:pStyle w:val="Body"/>
              <w:spacing w:after="0"/>
            </w:pPr>
            <w:r>
              <w:rPr>
                <w:rFonts w:ascii="Arial" w:hAnsi="Arial" w:eastAsia="Arial"/>
                <w:b w:val="0"/>
                <w:i w:val="0"/>
                <w:sz w:val="16"/>
              </w:rPr>
              <w:t>Use this path as soon as it is clear that only one Bellwether-authorised person will remain for final count, or a second cannot complete the count safely before the England 22:15 or Scotland 22:00 lockup-window end. This is a staffing/time control conflict, not an ordinary variance and not the severe safety exception.</w:t>
            </w:r>
          </w:p>
        </w:tc>
      </w:tr>
    </w:tbl>
    <w:p>
      <w:pPr>
        <w:spacing w:after="0"/>
      </w:pPr>
    </w:p>
    <w:tbl>
      <w:tblPr>
        <w:tblW w:type="auto" w:w="0"/>
        <w:jc w:val="center"/>
        <w:tblLayout w:type="fixed"/>
        <w:tblLook w:firstColumn="1" w:firstRow="1" w:lastColumn="0" w:lastRow="0" w:noHBand="0" w:noVBand="1" w:val="04A0"/>
      </w:tblPr>
      <w:tblGrid>
        <w:gridCol w:w="3619"/>
        <w:gridCol w:w="3619"/>
        <w:gridCol w:w="3619"/>
      </w:tblGrid>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1</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Escalate early</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Record the applicable window and immediately use the current approved site cash-control / management escalation route before that end time. CONTACT ROUTE AND RESPONSE OWNER ARE DRAFT APPROVAL ASSUMPTIONS; no Bellwether route was supplied. If a second Bellwether-authorised person can complete the count before lockup, return to Path A.</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2</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Hold the hard controls</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If no second authorised person can join in time, do not perform a solo final count, do not use a Quillhaven officer as counter, verifier, custodian or approver, and do not stay unsecured after the window. Quillhaven may coordinate physical security only.</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3</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Place cash in a deferred state</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Do not declare reconciliation complete. Preserve each till's identity and original till report/expected balance. Record whether it is uncounted or incompletely counted. Seal till funds and records in controlled tamper-evident packaging; record date/time, site, till(s), unique seal/package ID, reason and status: DEFERRED - NO TWO-PERSON FINAL COUNT.</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4</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Restrict custody; lock up safely</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The lone closer attests only to packaging, secure-storage placement and deferred status - never to a final count. Store under restricted authorised access in the approved local secure-cash location (location/access list require approval confirmation). Complete exit and secured-access checks with Quillhaven by the applicable window; disclose no cash amounts, variance details or package IDs.</w:t>
            </w:r>
          </w:p>
        </w:tc>
      </w:tr>
    </w:tbl>
    <w:p>
      <w:pPr>
        <w:pStyle w:val="Section"/>
        <w:spacing w:before="80" w:after="20"/>
        <w:keepNext/>
      </w:pPr>
      <w:r>
        <w:rPr>
          <w:rFonts w:ascii="Arial" w:hAnsi="Arial" w:eastAsia="Arial"/>
          <w:b/>
          <w:i w:val="0"/>
          <w:color w:val="183B56"/>
          <w:sz w:val="24"/>
        </w:rPr>
        <w:t>Close the deferral with the next authorised pair</w:t>
      </w:r>
    </w:p>
    <w:tbl>
      <w:tblPr>
        <w:tblW w:type="auto" w:w="0"/>
        <w:jc w:val="center"/>
        <w:tblLayout w:type="fixed"/>
        <w:tblLook w:firstColumn="1" w:firstRow="1" w:lastColumn="0" w:lastRow="0" w:noHBand="0" w:noVBand="1" w:val="04A0"/>
      </w:tblPr>
      <w:tblGrid>
        <w:gridCol w:w="3619"/>
        <w:gridCol w:w="3619"/>
        <w:gridCol w:w="3619"/>
      </w:tblGrid>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A</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Documented receipt</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The next available pair of Bellwether-authorised people receives the deferred package through a documented transfer/receipt. Match the site, till link, time and package/seal ID to the deferred record before opening. No exact completion time is supplied; any deadline must be approved as an assumption.</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B</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Integrity before count</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Verify seal/package integrity. If it is broken, missing or mismatched, record an integrity discrepancy, preserve the evidence and escalate through the approved route; do not sign it off as intact or quietly treat it as a routine completed deferral.</w:t>
            </w:r>
          </w:p>
        </w:tc>
      </w:tr>
      <w:tr>
        <w:trPr>
          <w:cantSplit/>
        </w:trPr>
        <w:tc>
          <w:tcPr>
            <w:tcW w:type="dxa" w:w="605"/>
            <w:tcMar>
              <w:top w:w="54" w:type="dxa"/>
              <w:start w:w="60" w:type="dxa"/>
              <w:bottom w:w="52" w:type="dxa"/>
              <w:end w:w="60" w:type="dxa"/>
            </w:tcMar>
            <w:tcBorders>
              <w:bottom w:val="single" w:sz="4" w:color="C8D0D6"/>
            </w:tcBorders>
            <w:shd w:fill="067C79" w:val="clear"/>
          </w:tcPr>
          <w:p>
            <w:pPr>
              <w:spacing w:after="0"/>
              <w:jc w:val="center"/>
            </w:pPr>
            <w:r>
              <w:rPr>
                <w:rFonts w:ascii="Arial" w:hAnsi="Arial" w:eastAsia="Arial"/>
                <w:b/>
                <w:i w:val="0"/>
                <w:color w:val="FFFFFF"/>
                <w:sz w:val="17"/>
              </w:rPr>
              <w:t>C</w:t>
            </w:r>
          </w:p>
        </w:tc>
        <w:tc>
          <w:tcPr>
            <w:tcW w:type="dxa" w:w="2347"/>
            <w:tcMar>
              <w:top w:w="54" w:type="dxa"/>
              <w:start w:w="60" w:type="dxa"/>
              <w:bottom w:w="52" w:type="dxa"/>
              <w:end w:w="60" w:type="dxa"/>
            </w:tcMar>
            <w:tcBorders>
              <w:bottom w:val="single" w:sz="4" w:color="C8D0D6"/>
            </w:tcBorders>
            <w:shd w:fill="E7F3F2" w:val="clear"/>
          </w:tcPr>
          <w:p>
            <w:pPr>
              <w:spacing w:after="0"/>
            </w:pPr>
            <w:r>
              <w:rPr>
                <w:rFonts w:ascii="Arial" w:hAnsi="Arial" w:eastAsia="Arial"/>
                <w:b/>
                <w:i w:val="0"/>
                <w:color w:val="183B56"/>
                <w:sz w:val="15"/>
              </w:rPr>
              <w:t>Two-person completion</w:t>
            </w:r>
          </w:p>
        </w:tc>
        <w:tc>
          <w:tcPr>
            <w:tcW w:type="dxa" w:w="7920"/>
            <w:tcMar>
              <w:top w:w="54" w:type="dxa"/>
              <w:start w:w="60" w:type="dxa"/>
              <w:bottom w:w="52" w:type="dxa"/>
              <w:end w:w="60" w:type="dxa"/>
            </w:tcMar>
            <w:tcBorders>
              <w:bottom w:val="single" w:sz="4" w:color="C8D0D6"/>
            </w:tcBorders>
            <w:shd w:fill="FFFFFF" w:val="clear"/>
          </w:tcPr>
          <w:p>
            <w:pPr>
              <w:spacing w:after="0"/>
            </w:pPr>
            <w:r>
              <w:rPr>
                <w:rFonts w:ascii="Arial" w:hAnsi="Arial" w:eastAsia="Arial"/>
                <w:b w:val="0"/>
                <w:i w:val="0"/>
                <w:sz w:val="15"/>
              </w:rPr>
              <w:t>Counter and verifier complete Path A, compare to the preserved expected balance/till report and any partial result, record each variance by till, and both attest to completion. Cross-reference the deferred record and close the custody trail without erasing the original state.</w:t>
            </w:r>
          </w:p>
        </w:tc>
      </w:tr>
    </w:tbl>
    <w:tbl>
      <w:tblPr>
        <w:tblW w:type="auto" w:w="0"/>
        <w:jc w:val="center"/>
        <w:tblLayout w:type="fixed"/>
        <w:tblLook w:firstColumn="1" w:firstRow="1" w:lastColumn="0" w:lastRow="0" w:noHBand="0" w:noVBand="1" w:val="04A0"/>
      </w:tblPr>
      <w:tblGrid>
        <w:gridCol w:w="5429"/>
        <w:gridCol w:w="5429"/>
      </w:tblGrid>
      <w:tr>
        <w:tc>
          <w:tcPr>
            <w:tcW w:type="dxa" w:w="5429"/>
            <w:shd w:fill="E7F3F2" w:val="clear"/>
            <w:tcMar>
              <w:top w:w="75" w:type="dxa"/>
              <w:start w:w="90" w:type="dxa"/>
              <w:bottom w:w="70" w:type="dxa"/>
              <w:end w:w="90" w:type="dxa"/>
            </w:tcMar>
            <w:tcBorders>
              <w:bottom w:val="single" w:sz="7" w:color="067C79"/>
            </w:tcBorders>
          </w:tcPr>
          <w:p>
            <w:pPr>
              <w:spacing w:after="20"/>
            </w:pPr>
            <w:r>
              <w:rPr>
                <w:rFonts w:ascii="Arial" w:hAnsi="Arial" w:eastAsia="Arial"/>
                <w:b/>
                <w:i w:val="0"/>
                <w:color w:val="067C79"/>
                <w:sz w:val="15"/>
              </w:rPr>
              <w:t>SECURITY HANDOVER LANGUAGE</w:t>
            </w:r>
          </w:p>
          <w:p>
            <w:pPr>
              <w:pStyle w:val="Small"/>
              <w:spacing w:after="0"/>
            </w:pPr>
            <w:r>
              <w:rPr>
                <w:rFonts w:ascii="Arial" w:hAnsi="Arial" w:eastAsia="Arial"/>
                <w:b w:val="0"/>
                <w:i w:val="0"/>
                <w:sz w:val="14"/>
              </w:rPr>
              <w:t>Communicate status sufficient for physical lockup, for example that the close is ready or deferred and people are exiting. Confirm staff have exited or are otherwise covered by the local site plan, then secure access points within the site window.</w:t>
            </w:r>
          </w:p>
        </w:tc>
        <w:tc>
          <w:tcPr>
            <w:tcW w:type="dxa" w:w="5429"/>
            <w:shd w:fill="FFF3D9" w:val="clear"/>
            <w:tcMar>
              <w:top w:w="75" w:type="dxa"/>
              <w:start w:w="90" w:type="dxa"/>
              <w:bottom w:w="70" w:type="dxa"/>
              <w:end w:w="90" w:type="dxa"/>
            </w:tcMar>
            <w:tcBorders>
              <w:bottom w:val="single" w:sz="7" w:color="A66A00"/>
            </w:tcBorders>
          </w:tcPr>
          <w:p>
            <w:pPr>
              <w:spacing w:after="20"/>
            </w:pPr>
            <w:r>
              <w:rPr>
                <w:rFonts w:ascii="Arial" w:hAnsi="Arial" w:eastAsia="Arial"/>
                <w:b/>
                <w:i w:val="0"/>
                <w:color w:val="A66A00"/>
                <w:sz w:val="15"/>
              </w:rPr>
              <w:t>DO NOT DISCLOSE OR TRANSFER</w:t>
            </w:r>
          </w:p>
          <w:p>
            <w:pPr>
              <w:pStyle w:val="Small"/>
              <w:spacing w:after="0"/>
            </w:pPr>
            <w:r>
              <w:rPr>
                <w:rFonts w:ascii="Arial" w:hAnsi="Arial" w:eastAsia="Arial"/>
                <w:b w:val="0"/>
                <w:i w:val="0"/>
                <w:sz w:val="14"/>
              </w:rPr>
              <w:t>Do not give Quillhaven cash totals, variance values, till identities, package/seal identifiers or custody. An officer can record their own security observation but cannot attest to a Bellwether cash record.</w:t>
            </w:r>
          </w:p>
        </w:tc>
      </w:tr>
    </w:tbl>
    <w:p>
      <w:r>
        <w:br w:type="page"/>
      </w:r>
    </w:p>
    <w:p>
      <w:pPr>
        <w:pStyle w:val="Section"/>
        <w:spacing w:before="80" w:after="20"/>
        <w:keepNext/>
      </w:pPr>
      <w:r>
        <w:rPr>
          <w:rFonts w:ascii="Arial" w:hAnsi="Arial" w:eastAsia="Arial"/>
          <w:b/>
          <w:i w:val="0"/>
          <w:color w:val="183B56"/>
          <w:sz w:val="24"/>
        </w:rPr>
        <w:t>Severe safety exception - suspected forced entry, threat or coercion</w:t>
      </w:r>
    </w:p>
    <w:tbl>
      <w:tblPr>
        <w:tblW w:type="auto" w:w="0"/>
        <w:jc w:val="center"/>
        <w:tblLayout w:type="fixed"/>
        <w:tblLook w:firstColumn="1" w:firstRow="1" w:lastColumn="0" w:lastRow="0" w:noHBand="0" w:noVBand="1" w:val="04A0"/>
      </w:tblPr>
      <w:tblGrid>
        <w:gridCol w:w="10858"/>
      </w:tblGrid>
      <w:tr>
        <w:tc>
          <w:tcPr>
            <w:tcW w:type="dxa" w:w="10829"/>
            <w:shd w:fill="FCEBEC" w:val="clear"/>
            <w:tcMar>
              <w:top w:w="95" w:type="dxa"/>
              <w:start w:w="120" w:type="dxa"/>
              <w:bottom w:w="95" w:type="dxa"/>
              <w:end w:w="120" w:type="dxa"/>
            </w:tcMar>
            <w:tcBorders>
              <w:top w:val="single" w:sz="8" w:color="9A2E2E"/>
              <w:left w:val="single" w:sz="18" w:color="9A2E2E"/>
              <w:bottom w:val="single" w:sz="8" w:color="9A2E2E"/>
              <w:right w:val="single" w:sz="8" w:color="9A2E2E"/>
            </w:tcBorders>
          </w:tcPr>
          <w:p>
            <w:pPr>
              <w:spacing w:after="20"/>
            </w:pPr>
            <w:r>
              <w:rPr>
                <w:rFonts w:ascii="Arial" w:hAnsi="Arial" w:eastAsia="Arial"/>
                <w:b/>
                <w:i w:val="0"/>
                <w:color w:val="9A2E2E"/>
                <w:sz w:val="16"/>
              </w:rPr>
              <w:t>LIFE SAFETY OVERRIDES THE NORMAL AND LONE-CLOSE PATHS</w:t>
            </w:r>
          </w:p>
          <w:p>
            <w:pPr>
              <w:pStyle w:val="Body"/>
              <w:spacing w:after="0"/>
            </w:pPr>
            <w:r>
              <w:rPr>
                <w:rFonts w:ascii="Arial" w:hAnsi="Arial" w:eastAsia="Arial"/>
                <w:b w:val="0"/>
                <w:i w:val="0"/>
                <w:sz w:val="16"/>
              </w:rPr>
              <w:t>Stop the count and stop handling cash. Do not confront, challenge, pursue, detain, re-enter, attempt evidence recovery or protect cash ahead of people. Follow the current site-specific emergency instructions, assembly point and contact route; contact emergency services when safe. Quillhaven's role remains physical security and incident support under the site plan, never cash control. Only after immediate danger has passed: preserve records or the scene without disturbing it where safe, restrict unnecessary access, record factual observations and notify through the approved local route. Do not resume reconciliation until the applicable local response permits it.</w:t>
            </w:r>
          </w:p>
        </w:tc>
      </w:tr>
    </w:tbl>
    <w:p>
      <w:pPr>
        <w:spacing w:after="0"/>
      </w:pPr>
    </w:p>
    <w:p>
      <w:pPr>
        <w:pStyle w:val="Section"/>
        <w:spacing w:before="80" w:after="20"/>
        <w:keepNext/>
      </w:pPr>
      <w:r>
        <w:rPr>
          <w:rFonts w:ascii="Arial" w:hAnsi="Arial" w:eastAsia="Arial"/>
          <w:b/>
          <w:i w:val="0"/>
          <w:color w:val="183B56"/>
          <w:sz w:val="24"/>
        </w:rPr>
        <w:t>Required records and cash integrity</w:t>
      </w:r>
    </w:p>
    <w:tbl>
      <w:tblPr>
        <w:tblW w:type="auto" w:w="0"/>
        <w:jc w:val="center"/>
        <w:tblLayout w:type="fixed"/>
        <w:tblLook w:firstColumn="1" w:firstRow="1" w:lastColumn="0" w:lastRow="0" w:noHBand="0" w:noVBand="1" w:val="04A0"/>
      </w:tblPr>
      <w:tblGrid>
        <w:gridCol w:w="5429"/>
        <w:gridCol w:w="5429"/>
      </w:tblGrid>
      <w:tr>
        <w:tc>
          <w:tcPr>
            <w:tcW w:type="dxa" w:w="5429"/>
            <w:shd w:fill="EAF0F6" w:val="clear"/>
            <w:tcMar>
              <w:top w:w="65" w:type="dxa"/>
              <w:start w:w="85" w:type="dxa"/>
              <w:bottom w:w="60" w:type="dxa"/>
              <w:end w:w="85" w:type="dxa"/>
            </w:tcMar>
            <w:tcBorders>
              <w:bottom w:val="single" w:sz="7" w:color="183B56"/>
            </w:tcBorders>
          </w:tcPr>
          <w:p>
            <w:pPr>
              <w:spacing w:after="40"/>
            </w:pPr>
            <w:r>
              <w:rPr>
                <w:rFonts w:ascii="Arial" w:hAnsi="Arial" w:eastAsia="Arial"/>
                <w:b/>
                <w:i w:val="0"/>
                <w:color w:val="183B56"/>
                <w:sz w:val="15"/>
              </w:rPr>
              <w:t>Cash variance record: capture all</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date and time; site; till identifier</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expected amount and actual amount; over or short direction</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original count and controlled recount result; any transcription resolution</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counter, verifier and other authorised participants</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circumstances and evidence references (for example, till report or package/seal ID)</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escalation route, recipient and disposition; deferred or completed status</w:t>
            </w:r>
          </w:p>
        </w:tc>
        <w:tc>
          <w:tcPr>
            <w:tcW w:type="dxa" w:w="5429"/>
            <w:shd w:fill="F2F4F5" w:val="clear"/>
            <w:tcMar>
              <w:top w:w="65" w:type="dxa"/>
              <w:start w:w="85" w:type="dxa"/>
              <w:bottom w:w="60" w:type="dxa"/>
              <w:end w:w="85" w:type="dxa"/>
            </w:tcMar>
            <w:tcBorders>
              <w:bottom w:val="single" w:sz="7" w:color="5D6873"/>
            </w:tcBorders>
          </w:tcPr>
          <w:p>
            <w:pPr>
              <w:spacing w:after="40"/>
            </w:pPr>
            <w:r>
              <w:rPr>
                <w:rFonts w:ascii="Arial" w:hAnsi="Arial" w:eastAsia="Arial"/>
                <w:b/>
                <w:i w:val="0"/>
                <w:color w:val="183B56"/>
                <w:sz w:val="15"/>
              </w:rPr>
              <w:t>Custody and handover record: capture all</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package or seal unique identifier; date/time; site and every linked till</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package status, count status and accompanying till report reference</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secure-storage location reference and restricted authorised access record</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each transfer and receipt: sending and receiving authorised Bellwether roles and attestation</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seal/package integrity check; record and escalate broken, missing or mismatched identity</w:t>
            </w:r>
          </w:p>
          <w:p>
            <w:pPr>
              <w:spacing w:after="20"/>
              <w:ind w:left="144" w:hanging="144"/>
            </w:pPr>
            <w:r>
              <w:rPr>
                <w:rFonts w:ascii="Arial" w:hAnsi="Arial" w:eastAsia="Arial"/>
                <w:b/>
                <w:i w:val="0"/>
                <w:color w:val="067C79"/>
                <w:sz w:val="13"/>
              </w:rPr>
              <w:t xml:space="preserve">- </w:t>
            </w:r>
            <w:r>
              <w:rPr>
                <w:rFonts w:ascii="Arial" w:hAnsi="Arial" w:eastAsia="Arial"/>
                <w:b w:val="0"/>
                <w:i w:val="0"/>
                <w:sz w:val="13"/>
              </w:rPr>
              <w:t>completion record cross-referenced to any deferred cash record</w:t>
            </w:r>
          </w:p>
        </w:tc>
      </w:tr>
    </w:tbl>
    <w:p>
      <w:pPr>
        <w:pStyle w:val="Small"/>
        <w:spacing w:before="40" w:after="40"/>
      </w:pPr>
      <w:r>
        <w:rPr>
          <w:rFonts w:ascii="Arial" w:hAnsi="Arial" w:eastAsia="Arial"/>
          <w:b/>
          <w:i w:val="0"/>
          <w:color w:val="9A2E2E"/>
          <w:sz w:val="14"/>
        </w:rPr>
        <w:t xml:space="preserve">Never force a balance: </w:t>
      </w:r>
      <w:r>
        <w:rPr>
          <w:rFonts w:ascii="Arial" w:hAnsi="Arial" w:eastAsia="Arial"/>
          <w:b w:val="0"/>
          <w:i w:val="0"/>
          <w:sz w:val="14"/>
        </w:rPr>
        <w:t>do not net overages and shortages across drawers, shifts or days; transfer cash between tills; use personal reimbursement or IOUs; add or remove cash without record; delete evidence; backdate; or split a variance to avoid escalation.</w:t>
      </w:r>
    </w:p>
    <w:p>
      <w:pPr>
        <w:pStyle w:val="Section"/>
        <w:spacing w:before="80" w:after="20"/>
        <w:keepNext/>
      </w:pPr>
      <w:r>
        <w:rPr>
          <w:rFonts w:ascii="Arial" w:hAnsi="Arial" w:eastAsia="Arial"/>
          <w:b/>
          <w:i w:val="0"/>
          <w:color w:val="183B56"/>
          <w:sz w:val="24"/>
        </w:rPr>
        <w:t>Cash variance is not a stock transaction</w:t>
      </w:r>
    </w:p>
    <w:tbl>
      <w:tblPr>
        <w:tblW w:type="auto" w:w="0"/>
        <w:jc w:val="center"/>
        <w:tblLayout w:type="fixed"/>
        <w:tblLook w:firstColumn="1" w:firstRow="1" w:lastColumn="0" w:lastRow="0" w:noHBand="0" w:noVBand="1" w:val="04A0"/>
      </w:tblPr>
      <w:tblGrid>
        <w:gridCol w:w="5429"/>
        <w:gridCol w:w="5429"/>
      </w:tblGrid>
      <w:tr>
        <w:tc>
          <w:tcPr>
            <w:tcW w:type="dxa" w:w="5429"/>
            <w:shd w:fill="FFF3D9" w:val="clear"/>
            <w:tcMar>
              <w:top w:w="75" w:type="dxa"/>
              <w:start w:w="90" w:type="dxa"/>
              <w:bottom w:w="70" w:type="dxa"/>
              <w:end w:w="90" w:type="dxa"/>
            </w:tcMar>
            <w:tcBorders>
              <w:bottom w:val="single" w:sz="7" w:color="A66A00"/>
            </w:tcBorders>
          </w:tcPr>
          <w:p>
            <w:pPr>
              <w:spacing w:after="20"/>
            </w:pPr>
            <w:r>
              <w:rPr>
                <w:rFonts w:ascii="Arial" w:hAnsi="Arial" w:eastAsia="Arial"/>
                <w:b/>
                <w:i w:val="0"/>
                <w:color w:val="A66A00"/>
                <w:sz w:val="15"/>
              </w:rPr>
              <w:t>KEEP THE RECORDS SEPARATE</w:t>
            </w:r>
          </w:p>
          <w:p>
            <w:pPr>
              <w:pStyle w:val="Small"/>
              <w:spacing w:after="0"/>
            </w:pPr>
            <w:r>
              <w:rPr>
                <w:rFonts w:ascii="Arial" w:hAnsi="Arial" w:eastAsia="Arial"/>
                <w:b w:val="0"/>
                <w:i w:val="0"/>
                <w:sz w:val="14"/>
              </w:rPr>
              <w:t>A cash difference remains in the cash-variance record. Never use an inventory shrink adjustment, stock write-off, sale, refund or similar entry to clear it. A valid stock adjustment concerns a supported stock discrepancy and needs item, quantity, reason, evidence and appropriate stock approval.</w:t>
            </w:r>
          </w:p>
        </w:tc>
        <w:tc>
          <w:tcPr>
            <w:tcW w:type="dxa" w:w="5429"/>
            <w:shd w:fill="EAF0F6" w:val="clear"/>
            <w:tcMar>
              <w:top w:w="75" w:type="dxa"/>
              <w:start w:w="90" w:type="dxa"/>
              <w:bottom w:w="70" w:type="dxa"/>
              <w:end w:w="90" w:type="dxa"/>
            </w:tcMar>
            <w:tcBorders>
              <w:bottom w:val="single" w:sz="7" w:color="183B56"/>
            </w:tcBorders>
          </w:tcPr>
          <w:p>
            <w:pPr>
              <w:spacing w:after="20"/>
            </w:pPr>
            <w:r>
              <w:rPr>
                <w:rFonts w:ascii="Arial" w:hAnsi="Arial" w:eastAsia="Arial"/>
                <w:b/>
                <w:i w:val="0"/>
                <w:color w:val="183B56"/>
                <w:sz w:val="15"/>
              </w:rPr>
              <w:t>REVIEW PRIOR CASH-REFERENCED SHRINK ENTRIES</w:t>
            </w:r>
          </w:p>
          <w:p>
            <w:pPr>
              <w:pStyle w:val="Small"/>
              <w:spacing w:after="0"/>
            </w:pPr>
            <w:r>
              <w:rPr>
                <w:rFonts w:ascii="Arial" w:hAnsi="Arial" w:eastAsia="Arial"/>
                <w:b w:val="0"/>
                <w:i w:val="0"/>
                <w:sz w:val="14"/>
              </w:rPr>
              <w:t>Do not assume every prior entry is wrong and do not delete its audit trail. Review traceably. If evidence supports correction, the appropriate stock approver makes an authorised reversal or correcting entry that preserves the original record and cross-references the underlying cash variance.</w:t>
            </w:r>
          </w:p>
        </w:tc>
      </w:tr>
    </w:tbl>
    <w:p>
      <w:pPr>
        <w:pStyle w:val="Section"/>
        <w:spacing w:before="80" w:after="20"/>
        <w:keepNext/>
      </w:pPr>
      <w:r>
        <w:rPr>
          <w:rFonts w:ascii="Arial" w:hAnsi="Arial" w:eastAsia="Arial"/>
          <w:b/>
          <w:i w:val="0"/>
          <w:color w:val="183B56"/>
          <w:sz w:val="24"/>
        </w:rPr>
        <w:t>Routine variance escalation and approval assumptions</w:t>
      </w:r>
    </w:p>
    <w:p>
      <w:pPr>
        <w:pStyle w:val="Body"/>
        <w:spacing w:after="40"/>
      </w:pPr>
      <w:r>
        <w:rPr>
          <w:rFonts w:ascii="Arial" w:hAnsi="Arial" w:eastAsia="Arial"/>
          <w:b/>
          <w:i w:val="0"/>
          <w:color w:val="183B56"/>
          <w:sz w:val="16"/>
        </w:rPr>
        <w:t xml:space="preserve">For an unresolved cash variance or custody-integrity discrepancy, </w:t>
      </w:r>
      <w:r>
        <w:rPr>
          <w:rFonts w:ascii="Arial" w:hAnsi="Arial" w:eastAsia="Arial"/>
          <w:b w:val="0"/>
          <w:i w:val="0"/>
          <w:sz w:val="16"/>
        </w:rPr>
        <w:t>preserve records/evidence and report facts through the current approved cash-control or management route. Limit access to need-to-know people. The supervisor makes no accusation or disciplinary finding. No monetary threshold is set by this draft; any threshold requires approval.</w:t>
      </w:r>
    </w:p>
    <w:p>
      <w:pPr>
        <w:pStyle w:val="Small"/>
        <w:spacing w:after="40"/>
      </w:pPr>
      <w:r>
        <w:rPr>
          <w:rFonts w:ascii="Arial" w:hAnsi="Arial" w:eastAsia="Arial"/>
          <w:b/>
          <w:i w:val="0"/>
          <w:color w:val="A66A00"/>
          <w:sz w:val="14"/>
        </w:rPr>
        <w:t xml:space="preserve">DRAFT ASSUMPTIONS REQUIRING APPROVAL BEFORE ISSUE: </w:t>
      </w:r>
      <w:r>
        <w:rPr>
          <w:rFonts w:ascii="Arial" w:hAnsi="Arial" w:eastAsia="Arial"/>
          <w:b w:val="0"/>
          <w:i w:val="0"/>
          <w:sz w:val="14"/>
        </w:rPr>
        <w:t>one controlled verifier recount per till; escalation contact route/owner; packaging, secure-storage and access-record method; local emergency/assembly/contact references; method of attestation; record-retention period; and any deadline for deferred-count completion. None is established Bellwether policy in this brief.</w:t>
      </w:r>
    </w:p>
    <w:tbl>
      <w:tblPr>
        <w:tblW w:type="auto" w:w="0"/>
        <w:jc w:val="center"/>
        <w:tblLayout w:type="fixed"/>
        <w:tblLook w:firstColumn="1" w:firstRow="1" w:lastColumn="0" w:lastRow="0" w:noHBand="0" w:noVBand="1" w:val="04A0"/>
      </w:tblPr>
      <w:tblGrid>
        <w:gridCol w:w="5429"/>
        <w:gridCol w:w="5429"/>
      </w:tblGrid>
      <w:tr>
        <w:tc>
          <w:tcPr>
            <w:tcW w:type="dxa" w:w="5429"/>
            <w:shd w:fill="FFF3D9" w:val="clear"/>
            <w:tcMar>
              <w:top w:w="60" w:type="dxa"/>
              <w:start w:w="85" w:type="dxa"/>
              <w:bottom w:w="60" w:type="dxa"/>
              <w:end w:w="85" w:type="dxa"/>
            </w:tcMar>
            <w:tcBorders>
              <w:bottom w:val="single" w:sz="7" w:color="A66A00"/>
            </w:tcBorders>
          </w:tcPr>
          <w:p>
            <w:pPr>
              <w:spacing w:after="0"/>
            </w:pPr>
            <w:r>
              <w:rPr>
                <w:rFonts w:ascii="Arial" w:hAnsi="Arial" w:eastAsia="Arial"/>
                <w:b/>
                <w:i w:val="0"/>
                <w:color w:val="1D2733"/>
                <w:sz w:val="14"/>
              </w:rPr>
              <w:t>ORLA YAMAMOTO - REVIEW DECISION</w:t>
              <w:br/>
              <w:t>[ ] Approve draft  [ ] Amend  [ ] Do not approve</w:t>
              <w:br/>
              <w:t>Signature / date: ______________________________</w:t>
            </w:r>
          </w:p>
        </w:tc>
        <w:tc>
          <w:tcPr>
            <w:tcW w:type="dxa" w:w="5429"/>
            <w:shd w:fill="F2F4F5" w:val="clear"/>
            <w:tcMar>
              <w:top w:w="60" w:type="dxa"/>
              <w:start w:w="85" w:type="dxa"/>
              <w:bottom w:w="60" w:type="dxa"/>
              <w:end w:w="85" w:type="dxa"/>
            </w:tcMar>
            <w:tcBorders>
              <w:bottom w:val="single" w:sz="7" w:color="5D6873"/>
            </w:tcBorders>
          </w:tcPr>
          <w:p>
            <w:pPr>
              <w:spacing w:after="0"/>
            </w:pPr>
            <w:r>
              <w:rPr>
                <w:rFonts w:ascii="Arial" w:hAnsi="Arial" w:eastAsia="Arial"/>
                <w:b w:val="0"/>
                <w:i w:val="0"/>
                <w:color w:val="1D2733"/>
                <w:sz w:val="14"/>
              </w:rPr>
              <w:t>BEFORE ISSUE</w:t>
              <w:br/>
              <w:t>Confirm local site emergency information, England/Scotland window, secure storage/access reference and approved escalation route.</w:t>
              <w:br/>
              <w:t>Comments: ______________________________________</w:t>
            </w:r>
          </w:p>
        </w:tc>
      </w:tr>
    </w:tbl>
    <w:sectPr w:rsidR="00FC693F" w:rsidRPr="0006063C" w:rsidSect="00034616">
      <w:headerReference w:type="default" r:id="rId9"/>
      <w:footerReference w:type="default" r:id="rId10"/>
      <w:pgSz w:w="12240" w:h="15840"/>
      <w:pgMar w:top="605" w:right="691" w:bottom="605" w:left="691" w:header="274"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i w:val="0"/>
        <w:color w:val="5D6873"/>
        <w:sz w:val="13"/>
      </w:rPr>
      <w:t xml:space="preserve">Closing &amp; cash-control procedure  |  Version 0.9  |  Page </w:t>
    </w:r>
    <w:r>
      <w:fldChar w:fldCharType="begin"/>
      <w:instrText xml:space="preserve">PAGE</w:instrText>
      <w:fldChar w:fldCharType="end"/>
    </w:r>
    <w:r>
      <w:rPr>
        <w:rFonts w:ascii="Arial" w:hAnsi="Arial" w:eastAsia="Arial"/>
        <w:b w:val="0"/>
        <w:i w:val="0"/>
        <w:color w:val="5D6873"/>
        <w:sz w:val="13"/>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i w:val="0"/>
        <w:color w:val="183B56"/>
        <w:sz w:val="14"/>
      </w:rPr>
      <w:t>BELLWETHER COOPERATIVE</w:t>
    </w:r>
    <w:r>
      <w:rPr>
        <w:rFonts w:ascii="Arial" w:hAnsi="Arial" w:eastAsia="Arial"/>
        <w:b w:val="0"/>
        <w:i w:val="0"/>
        <w:color w:val="5D6873"/>
        <w:sz w:val="14"/>
      </w:rPr>
      <w:t xml:space="preserve">  |  Controlled draft for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2" w:lineRule="auto"/>
    </w:pPr>
    <w:rPr>
      <w:rFonts w:ascii="Arial" w:hAnsi="Arial" w:eastAsia="Arial"/>
      <w:color w:val="1D2733"/>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50" w:line="242" w:lineRule="auto"/>
    </w:pPr>
    <w:rPr>
      <w:rFonts w:ascii="Arial" w:hAnsi="Arial" w:eastAsia="Arial"/>
      <w:color w:val="1D2733"/>
      <w:sz w:val="16"/>
    </w:rPr>
  </w:style>
  <w:style w:type="paragraph" w:customStyle="1" w:styleId="Small">
    <w:name w:val="Small"/>
    <w:basedOn w:val="Normal"/>
    <w:pPr>
      <w:spacing w:after="50" w:line="242" w:lineRule="auto"/>
    </w:pPr>
    <w:rPr>
      <w:rFonts w:ascii="Arial" w:hAnsi="Arial" w:eastAsia="Arial"/>
      <w:color w:val="1D2733"/>
      <w:sz w:val="14"/>
    </w:rPr>
  </w:style>
  <w:style w:type="paragraph" w:customStyle="1" w:styleId="Section">
    <w:name w:val="Section"/>
    <w:basedOn w:val="Normal"/>
    <w:pPr>
      <w:spacing w:after="50" w:line="242" w:lineRule="auto"/>
    </w:pPr>
    <w:rPr>
      <w:rFonts w:ascii="Arial" w:hAnsi="Arial" w:eastAsia="Arial"/>
      <w:color w:val="1D273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Bellwether Cooperative Closing &amp; Cash-Control Procedure</dc:title>
  <dc:subject>Controlled draft for approval</dc:subject>
  <dc:creator>Retail Floor Supervision</dc:creator>
  <cp:keywords/>
  <dc:description>Generated from supplied task facts and occupational cash-control controls.</dc:description>
  <cp:lastModifiedBy/>
  <cp:revision>1</cp:revision>
  <dcterms:created xsi:type="dcterms:W3CDTF">2013-12-23T23:15:00Z</dcterms:created>
  <dcterms:modified xsi:type="dcterms:W3CDTF">2013-12-23T23:15:00Z</dcterms:modified>
  <cp:category/>
</cp:coreProperties>
</file>