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2"/>
        </w:rPr>
        <w:t>Quicklane Service Evidence</w:t>
      </w:r>
    </w:p>
    <w:p>
      <w:pPr>
        <w:spacing w:after="160"/>
        <w:jc w:val="center"/>
      </w:pPr>
      <w:r>
        <w:rPr>
          <w:i/>
          <w:color w:val="646464"/>
          <w:sz w:val="16"/>
        </w:rPr>
        <w:t>Marlowe Benefit Administrators | Internal case record | 20 August 2026</w:t>
      </w:r>
    </w:p>
    <w:p>
      <w:pPr>
        <w:spacing w:before="100" w:after="40"/>
      </w:pPr>
      <w:r>
        <w:rPr>
          <w:b/>
          <w:color w:val="1F4E79"/>
          <w:sz w:val="20"/>
        </w:rPr>
        <w:t>SERVICE SUMMARY</w:t>
      </w:r>
    </w:p>
    <w:p>
      <w:r>
        <w:t>Quicklane Auto Group reported that Marlowe’s chat support was unavailable for 11 hours during Quicklane’s open-enrolment period. The disruption affected employee enrolment support and triggered a formal customer complaint. This bundle records the available service evidence and internal constraints; it is not a legal determination.</w:t>
      </w:r>
    </w:p>
    <w:p>
      <w:pPr>
        <w:spacing w:before="100" w:after="40"/>
      </w:pPr>
      <w:r>
        <w:rPr>
          <w:b/>
          <w:color w:val="1F4E79"/>
          <w:sz w:val="20"/>
        </w:rPr>
        <w:t>COMPARABLE SERVICE PERIODS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096"/>
        <w:gridCol w:w="3096"/>
        <w:gridCol w:w="309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Stable pre-incident period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Incident-period month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Chat availability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99.93%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98.41%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Chat volume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4,820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5,460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Abandonment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2.1%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14.8%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Median first response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42 sec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 min 55 sec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Average handle time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 min 10 sec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 min 40 sec</w:t>
            </w:r>
          </w:p>
        </w:tc>
      </w:tr>
    </w:tbl>
    <w:p>
      <w:r>
        <w:t>The incident month shows lower availability and materially worse queue outcomes while volume was higher. The comparison does not establish sole causation, contractual entitlement, or future performance; it is a period-level operational signal.</w:t>
      </w:r>
    </w:p>
    <w:p>
      <w:pPr>
        <w:spacing w:before="100" w:after="40"/>
      </w:pPr>
      <w:r>
        <w:rPr>
          <w:b/>
          <w:color w:val="1F4E79"/>
          <w:sz w:val="20"/>
        </w:rPr>
        <w:t>CURRENT SLA SCHEDULE (EXCERPT)</w:t>
      </w:r>
    </w:p>
    <w:p>
      <w:r>
        <w:t>The current schedule sets a monthly chat-availability objective of 99.9%. If measured availability falls below 99.5%, the customer may request a service credit under the schedule, subject to the schedule’s notice, measurement, exclusions, and validation conditions. The schedule describes credits as the service-level remedy; whether this incident satisfies every condition is for Legal to interpret. Quicklane has invoked the SLA penalty clause and asked to reopen the service terms.</w:t>
      </w:r>
    </w:p>
    <w:p>
      <w:pPr>
        <w:spacing w:before="100" w:after="40"/>
      </w:pPr>
      <w:r>
        <w:rPr>
          <w:b/>
          <w:color w:val="1F4E79"/>
          <w:sz w:val="20"/>
        </w:rPr>
        <w:t>OPERATIONAL OPTIONS</w:t>
      </w:r>
    </w:p>
    <w:p>
      <w:pPr>
        <w:pStyle w:val="ListBullet"/>
        <w:spacing w:after="20"/>
        <w:ind w:left="230" w:hanging="173"/>
      </w:pPr>
      <w:r>
        <w:rPr>
          <w:sz w:val="17"/>
        </w:rPr>
        <w:t>Operations can staff a dedicated enrolment line for the next enrolment window at relatively low incremental cost; it is a controllable support measure, not a change to the SLA.</w:t>
      </w:r>
    </w:p>
    <w:p>
      <w:pPr>
        <w:pStyle w:val="ListBullet"/>
        <w:spacing w:after="20"/>
        <w:ind w:left="230" w:hanging="173"/>
      </w:pPr>
      <w:r>
        <w:rPr>
          <w:sz w:val="17"/>
        </w:rPr>
        <w:t>A hard average-handle-time commitment would constrain case handling and require operational governance; Operations can propose controls but cannot promise a binding AHT outcome.</w:t>
      </w:r>
    </w:p>
    <w:p>
      <w:pPr>
        <w:pStyle w:val="ListBullet"/>
        <w:spacing w:after="20"/>
        <w:ind w:left="230" w:hanging="173"/>
      </w:pPr>
      <w:r>
        <w:rPr>
          <w:sz w:val="17"/>
        </w:rPr>
        <w:t>Standing SLA credits would create recurring commercial exposure and are materially more consequential than the dedicated line.</w:t>
      </w:r>
    </w:p>
    <w:p>
      <w:pPr>
        <w:spacing w:before="100" w:after="40"/>
      </w:pPr>
      <w:r>
        <w:rPr>
          <w:b/>
          <w:color w:val="1F4E79"/>
          <w:sz w:val="20"/>
        </w:rPr>
        <w:t>INTERNAL OWNERSHIP AND CONSTRAINTS</w:t>
      </w:r>
    </w:p>
    <w:p>
      <w:r>
        <w:t>Ingrid Lindqvist (VP Legal) owns contract interpretation, waiver, release, amendment, and any revised legal obligation. Tobenna Aponte prepares the customer-service position. Gerhard Bergqvist and Hilde Jaramillo support operational design; Joaquin Arriaga and Renata Coutinho support account/commercial coordination; Ibrahim Bruns supports service execution. Account or customer service may frame an offer but cannot independently approve a permanent commercial obligation.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D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