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Orrindale Engineering — California Wage Liability Assessment</w:t>
      </w:r>
    </w:p>
    <w:p>
      <w:r>
        <w:t>Measurement date: 30 June 2025 | Prepared for Ibrahim Boateng | Review response to Aleksy Rosenthal</w:t>
      </w:r>
    </w:p>
    <w:p>
      <w:pPr>
        <w:pStyle w:val="Heading1"/>
      </w:pPr>
      <w:r>
        <w:t>Conclusion</w:t>
      </w:r>
    </w:p>
    <w:p>
      <w:r>
        <w:t>Recognized California liability is $2,650.00 for 3 unique supported claims, measured at 30 June 2025. Unresolved California claimed exposure is $1,550.00 (2 claims: C-1006 and C-1009); these amounts are not recognized because personnel support is incomplete, not because the claims are settled. Nevada claim C-1003 ($700.00), paid/settled California claims C-1004 ($500.00) and C-1005 ($900.00), duplicate row C-1008 ($1,200.00), and post-measurement C-1007 ($300.00) are excluded from the recognized total.</w:t>
      </w:r>
    </w:p>
    <w:p>
      <w:pPr>
        <w:pStyle w:val="Heading1"/>
      </w:pPr>
      <w:r>
        <w:t>Basis and Jurisdiction Comparison</w:t>
      </w:r>
    </w:p>
    <w:p>
      <w:r>
        <w:t>The claims table was identified at Claims Export!D6:K16; the adjacent M:N office-metrics table was excluded. Employee keys were matched case-insensitively after trimming terminal spaces. California claims on or before 30 June 2025 with no explicit payment or settlement evidence are recognized at the claimed gross wage. C-1001 is retained once and C-1008 is linked as its duplicate. C-1004 and C-1005 are excluded only because personnel support explicitly says “Paid in full” and “Settled.”</w:t>
      </w:r>
    </w:p>
    <w:p>
      <w:r>
        <w:t>Period comparison (same recognized population): 2024 recognized $1,200.00; 2025 recognized $1,450.00; increase $250.00. The 2025 amount comprises C-1002 ($850.00) and C-1010 ($600.00). Slash dates are interpreted MM/DD/YYYY; therefore 05/06/2025 is 6 May 2025. This is a disclosed convention for the ambiguous date.</w:t>
      </w:r>
    </w:p>
    <w:p>
      <w:r>
        <w:t>The supplied guidance snapshot states that California scope is distinct from Nevada, explicit payment/settlement evidence supports exclusion, administrative status alone is insufficient, unsupported records remain unresolved, and later dates are outside the measurement population. Nevada C-1003 is shown for comparison only and does not affect the California total.</w:t>
      </w:r>
    </w:p>
    <w:p>
      <w:pPr>
        <w:pStyle w:val="Heading1"/>
      </w:pPr>
      <w:r>
        <w:t>Exceptions and Assumptions</w:t>
      </w:r>
    </w:p>
    <w:p>
      <w:r>
        <w:t>C-1006 ($450.00) and C-1009 ($1,100.00) have no personnel support row. Their combined $1,550.00 is unresolved claimed exposure; recognized amount is blank/non-recognized in the workbook. C-1008 duplicates C-1001 by normalized employee key, date, category, and amount, so its amount is not multiplied. Raw statuses are preserved; Due/Open/Outstanding/Unpaid are treated as claim indicators, while Paid/Settled require explicit support. No penalties, interest, or unsupported adjustments are included.</w:t>
      </w:r>
    </w:p>
    <w:p>
      <w:pPr>
        <w:pStyle w:val="Heading1"/>
      </w:pPr>
      <w:r>
        <w:t>Source References</w:t>
      </w:r>
    </w:p>
    <w:p>
      <w:r>
        <w:t>1. orrindale_wage_claims_source.xlsx, Claims Export!D6:K16 (claims and source notes), Personnel Support!A4:E10 (employment and payment/settlement evidence). 2. california_nevada_wage_guidance.docx, “California treatment,” “Nevada comparison,” and “Measurement boundary and amounts” paragraphs. Source files were retained unchanged.</w:t>
      </w: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Review issue</w:t>
            </w:r>
          </w:p>
        </w:tc>
        <w:tc>
          <w:tcPr>
            <w:tcW w:type="dxa" w:w="2880"/>
          </w:tcPr>
          <w:p>
            <w:r>
              <w:t>Response</w:t>
            </w:r>
          </w:p>
        </w:tc>
        <w:tc>
          <w:tcPr>
            <w:tcW w:type="dxa" w:w="2880"/>
          </w:tcPr>
          <w:p>
            <w:r>
              <w:t>Records/evidence</w:t>
            </w:r>
          </w:p>
        </w:tc>
      </w:tr>
      <w:tr>
        <w:tc>
          <w:tcPr>
            <w:tcW w:type="dxa" w:w="2880"/>
          </w:tcPr>
          <w:p>
            <w:r>
              <w:t>Duplicate employee rows</w:t>
            </w:r>
          </w:p>
        </w:tc>
        <w:tc>
          <w:tcPr>
            <w:tcW w:type="dxa" w:w="2880"/>
          </w:tcPr>
          <w:p>
            <w:r>
              <w:t>Normalized and grouped; recognized once with lineage.</w:t>
            </w:r>
          </w:p>
        </w:tc>
        <w:tc>
          <w:tcPr>
            <w:tcW w:type="dxa" w:w="2880"/>
          </w:tcPr>
          <w:p>
            <w:r>
              <w:t>C-1001/C-1008</w:t>
            </w:r>
          </w:p>
        </w:tc>
      </w:tr>
      <w:tr>
        <w:tc>
          <w:tcPr>
            <w:tcW w:type="dxa" w:w="2880"/>
          </w:tcPr>
          <w:p>
            <w:r>
              <w:t>Status labels</w:t>
            </w:r>
          </w:p>
        </w:tc>
        <w:tc>
          <w:tcPr>
            <w:tcW w:type="dxa" w:w="2880"/>
          </w:tcPr>
          <w:p>
            <w:r>
              <w:t>Raw labels retained; semantic interpretation disclosed.</w:t>
            </w:r>
          </w:p>
        </w:tc>
        <w:tc>
          <w:tcPr>
            <w:tcW w:type="dxa" w:w="2880"/>
          </w:tcPr>
          <w:p>
            <w:r>
              <w:t>All claims; E004/E005</w:t>
            </w:r>
          </w:p>
        </w:tc>
      </w:tr>
      <w:tr>
        <w:tc>
          <w:tcPr>
            <w:tcW w:type="dxa" w:w="2880"/>
          </w:tcPr>
          <w:p>
            <w:r>
              <w:t>Mixed dates</w:t>
            </w:r>
          </w:p>
        </w:tc>
        <w:tc>
          <w:tcPr>
            <w:tcW w:type="dxa" w:w="2880"/>
          </w:tcPr>
          <w:p>
            <w:r>
              <w:t>Canonical dates added; MM/DD/YYYY convention disclosed.</w:t>
            </w:r>
          </w:p>
        </w:tc>
        <w:tc>
          <w:tcPr>
            <w:tcW w:type="dxa" w:w="2880"/>
          </w:tcPr>
          <w:p>
            <w:r>
              <w:t>C-1005/C-1008/C-1010</w:t>
            </w:r>
          </w:p>
        </w:tc>
      </w:tr>
      <w:tr>
        <w:tc>
          <w:tcPr>
            <w:tcW w:type="dxa" w:w="2880"/>
          </w:tcPr>
          <w:p>
            <w:r>
              <w:t>Stale calculation</w:t>
            </w:r>
          </w:p>
        </w:tc>
        <w:tc>
          <w:tcPr>
            <w:tcW w:type="dxa" w:w="2880"/>
          </w:tcPr>
          <w:p>
            <w:r>
              <w:t>Reference-error draft quarantined; totals recomputed.</w:t>
            </w:r>
          </w:p>
        </w:tc>
        <w:tc>
          <w:tcPr>
            <w:tcW w:type="dxa" w:w="2880"/>
          </w:tcPr>
          <w:p>
            <w:r>
              <w:t>Source draft and Liability sheet</w:t>
            </w:r>
          </w:p>
        </w:tc>
      </w:tr>
    </w:tbl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