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25"/>
        </w:rPr>
        <w:t>THORNBURY STUDIOS | PRE-CLOSING COMPLIANCE EXPOSURE</w:t>
      </w:r>
    </w:p>
    <w:p>
      <w:pPr>
        <w:spacing w:after="60"/>
      </w:pPr>
      <w:r>
        <w:rPr>
          <w:i/>
          <w:sz w:val="16"/>
        </w:rPr>
        <w:t>Texas endoscopy center acquisition — decision brief as of March 1,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672"/>
        <w:gridCol w:w="3312"/>
        <w:gridCol w:w="2131"/>
      </w:tblGrid>
      <w:tr>
        <w:tc>
          <w:tcPr>
            <w:tcW w:type="dxa" w:w="2772"/>
            <w:shd w:fill="1F4E79"/>
          </w:tcPr>
          <w:p>
            <w:pPr>
              <w:spacing w:after="0" w:line="221" w:lineRule="auto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5"/>
              </w:rPr>
              <w:t>Priority / status</w:t>
            </w:r>
          </w:p>
        </w:tc>
        <w:tc>
          <w:tcPr>
            <w:tcW w:type="dxa" w:w="2772"/>
            <w:shd w:fill="1F4E79"/>
          </w:tcPr>
          <w:p>
            <w:pPr>
              <w:spacing w:after="0" w:line="221" w:lineRule="auto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5"/>
              </w:rPr>
              <w:t>Known vs. confirm</w:t>
            </w:r>
          </w:p>
        </w:tc>
        <w:tc>
          <w:tcPr>
            <w:tcW w:type="dxa" w:w="2772"/>
            <w:shd w:fill="1F4E79"/>
          </w:tcPr>
          <w:p>
            <w:pPr>
              <w:spacing w:after="0" w:line="221" w:lineRule="auto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5"/>
              </w:rPr>
              <w:t>Deal consequence</w:t>
            </w:r>
          </w:p>
        </w:tc>
        <w:tc>
          <w:tcPr>
            <w:tcW w:type="dxa" w:w="2772"/>
            <w:shd w:fill="1F4E79"/>
          </w:tcPr>
          <w:p>
            <w:pPr>
              <w:spacing w:after="0" w:line="221" w:lineRule="auto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5"/>
              </w:rPr>
              <w:t>Protection, owner &amp; timing</w:t>
            </w:r>
          </w:p>
        </w:tc>
      </w:tr>
      <w:tr>
        <w:tc>
          <w:tcPr>
            <w:tcW w:type="dxa" w:w="1613"/>
            <w:shd w:fill="D9EAF7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/>
                <w:sz w:val="14"/>
              </w:rPr>
              <w:t>1 • STOP/GO</w:t>
              <w:br/>
              <w:t>License</w:t>
            </w:r>
          </w:p>
        </w:tc>
        <w:tc>
          <w:tcPr>
            <w:tcW w:type="dxa" w:w="367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KNOWN: Texas facility license is in seller name and does not automatically transfer on change of ownership. OPEN: buyer application/authorization effective date; separate CLIA update, accreditation and Medicare ASC enrollment/supplier filing.</w:t>
            </w:r>
          </w:p>
        </w:tc>
        <w:tc>
          <w:tcPr>
            <w:tcW w:type="dxa" w:w="331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Without effective buyer authority, closing does not make operations lawful; closed days lose planned contribution margin.</w:t>
            </w:r>
          </w:p>
        </w:tc>
        <w:tc>
          <w:tcPr>
            <w:tcW w:type="dxa" w:w="2131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Closing condition: effective license or written regulator authorization. Licensing counsel owns now; operations keeps center closed or delays closing. Confirm CLIA, Medicare and accreditor separately.</w:t>
            </w:r>
          </w:p>
        </w:tc>
      </w:tr>
      <w:tr>
        <w:tc>
          <w:tcPr>
            <w:tcW w:type="dxa" w:w="1613"/>
            <w:shd w:fill="D9EAF7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/>
                <w:sz w:val="14"/>
              </w:rPr>
              <w:t>2 • HIGH</w:t>
              <w:br/>
              <w:t>Payers</w:t>
            </w:r>
          </w:p>
        </w:tc>
        <w:tc>
          <w:tcPr>
            <w:tcW w:type="dxa" w:w="367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KNOWN: unresolved assignment/change-of-control/notice language affects 42% of projected cases. OPEN: contract-specific consent, rates and effective dates.</w:t>
            </w:r>
          </w:p>
        </w:tc>
        <w:tc>
          <w:tcPr>
            <w:tcW w:type="dxa" w:w="331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Participation or rates may not continue; while consent is pending, affected cases carry a modeled 55% contribution-margin reduction. Modeled 90-day total: Base $18,000; Expected $333,979; Downside $541,541.</w:t>
            </w:r>
          </w:p>
        </w:tc>
        <w:tc>
          <w:tcPr>
            <w:tcW w:type="dxa" w:w="2131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Payer contracting + counsel obtain consents/amendments before closing; condition or escrow for unresolved material payers. Finance updates forecast; no assumed repayment, penalty or legal-fee dollars.</w:t>
            </w:r>
          </w:p>
        </w:tc>
      </w:tr>
      <w:tr>
        <w:tc>
          <w:tcPr>
            <w:tcW w:type="dxa" w:w="1613"/>
            <w:shd w:fill="D9EAF7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/>
                <w:sz w:val="14"/>
              </w:rPr>
              <w:t>3 • HIGH</w:t>
              <w:br/>
              <w:t>Anesthesia</w:t>
            </w:r>
          </w:p>
        </w:tc>
        <w:tc>
          <w:tcPr>
            <w:tcW w:type="dxa" w:w="367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KNOWN: no documented exclusion screening for contracted clinicians for nine months. Annual vendor attestation is not a substitute for current checks or ongoing monitoring. OPEN: any excluded person and affected claims/payments.</w:t>
            </w:r>
          </w:p>
        </w:tc>
        <w:tc>
          <w:tcPr>
            <w:tcW w:type="dxa" w:w="331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Excluded-person services can threaten billing, program participation and contracts; this is more than housekeeping. A confirmed match is a distinct severe event.</w:t>
            </w:r>
          </w:p>
        </w:tc>
        <w:tc>
          <w:tcPr>
            <w:tcW w:type="dxa" w:w="2131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Compliance screens group, entities and personnel against OIG LEIE, SAM and Texas Medicaid source before close and monthly thereafter; seller/anesthesia vendor certifies and buyer retains evidence/audit rights. Match: verify, suspend affected duties/billing, look back dates/services/claims/payments, then counsel-led disclosure/repayment review. Schedule exclusion/billing reps, indemnity/escrow and vendor cure/termination rights.</w:t>
            </w:r>
          </w:p>
        </w:tc>
      </w:tr>
      <w:tr>
        <w:tc>
          <w:tcPr>
            <w:tcW w:type="dxa" w:w="1613"/>
            <w:shd w:fill="D9EAF7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/>
                <w:sz w:val="14"/>
              </w:rPr>
              <w:t>4 • MEDIUM</w:t>
              <w:br/>
              <w:t>History/files</w:t>
            </w:r>
          </w:p>
        </w:tc>
        <w:tc>
          <w:tcPr>
            <w:tcW w:type="dxa" w:w="367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KNOWN: seven-year-old OIG audit closure letter; aging credential files. OPEN: audit scope, corrective-action/refund/reporting/continuing duties; current licenses, privileges, recredentialing and payer enrollment.</w:t>
            </w:r>
          </w:p>
        </w:tc>
        <w:tc>
          <w:tcPr>
            <w:tcW w:type="dxa" w:w="3312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Old closure is not blanket proof of current compliance or no unrelated exposure; each provider prerequisite must be current before furnishing or billing.</w:t>
            </w:r>
          </w:p>
        </w:tc>
        <w:tc>
          <w:tcPr>
            <w:tcW w:type="dxa" w:w="2131"/>
          </w:tcPr>
          <w:p>
            <w:pPr>
              <w:spacing w:after="0" w:line="221" w:lineRule="auto"/>
            </w:pPr>
            <w:r/>
            <w:r>
              <w:rPr>
                <w:rFonts w:ascii="Aptos" w:hAnsi="Aptos"/>
                <w:b w:val="0"/>
                <w:sz w:val="14"/>
              </w:rPr>
              <w:t>Deal counsel confirms scope/closure evidence; compliance/medical staff verifies providers and payer enrollment before close. Targeted reps: material compliance, licenses/participation, exclusions, billing/overpayments, investigations and data-room accuracy; indemnity/escrow for identified unknowns.</w:t>
            </w:r>
          </w:p>
        </w:tc>
      </w:tr>
    </w:tbl>
    <w:p>
      <w:pPr>
        <w:spacing w:before="60" w:after="0"/>
      </w:pPr>
      <w:r>
        <w:rPr>
          <w:b/>
          <w:sz w:val="16"/>
        </w:rPr>
        <w:t xml:space="preserve">Decision requested this week: </w:t>
      </w:r>
      <w:r>
        <w:rPr>
          <w:sz w:val="16"/>
        </w:rPr>
        <w:t>authorize counsel to draft targeted representations, a licensing closing condition, and risk-based indemnity/escrow; require the owners above to deliver confirmations before Friday schedule drafting. Forecast excludes unquantified repayments, penalties, settlements and legal fees pending facts.</w:t>
      </w:r>
    </w:p>
    <w:sectPr w:rsidR="00FC693F" w:rsidRPr="0006063C" w:rsidSect="00034616">
      <w:pgSz w:w="12240" w:h="15840"/>
      <w:pgMar w:top="504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