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Yewbank School District</w:t>
      </w:r>
    </w:p>
    <w:p>
      <w:pPr>
        <w:spacing w:after="180"/>
      </w:pPr>
      <w:r>
        <w:rPr>
          <w:rFonts w:ascii="Aptos Display" w:hAnsi="Aptos Display"/>
          <w:color w:val="186378"/>
          <w:sz w:val="27"/>
        </w:rPr>
        <w:t>Financing stakeholder evidence pack</w:t>
      </w:r>
    </w:p>
    <w:p>
      <w:pPr>
        <w:spacing w:after="100" w:line="259" w:lineRule="auto"/>
      </w:pPr>
      <w:r>
        <w:rPr>
          <w:rFonts w:ascii="Aptos" w:hAnsi="Aptos"/>
          <w:i w:val="0"/>
          <w:color w:val="4D5D68"/>
          <w:sz w:val="20"/>
        </w:rPr>
        <w:t>Commercial extracts, stakeholder communications and review notes assembled for Friday approval preparation. Each item retains its own evidence status; this pack does not resolve the decision.</w:t>
      </w:r>
    </w:p>
    <w:p>
      <w:pPr>
        <w:spacing w:before="20" w:after="60"/>
      </w:pPr>
      <w:r>
        <w:rPr>
          <w:rFonts w:ascii="Aptos Display" w:hAnsi="Aptos Display"/>
          <w:b/>
          <w:color w:val="186378"/>
          <w:sz w:val="17"/>
        </w:rPr>
        <w:t>SOURCE A | WRITTEN PROPOSED TERMS</w:t>
      </w:r>
    </w:p>
    <w:p>
      <w:pPr>
        <w:pStyle w:val="Heading1"/>
        <w:spacing w:after="60"/>
      </w:pPr>
      <w:r>
        <w:t>Duncastle Holdings - Indicative Financing Term Sheet (v1.3)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F"/>
            <w:tcBorders>
              <w:top w:val="single" w:sz="4" w:space="0" w:color="E5C96E"/>
              <w:left w:val="single" w:sz="4" w:space="0" w:color="E5C96E"/>
              <w:bottom w:val="single" w:sz="4" w:space="0" w:color="E5C96E"/>
              <w:right w:val="single" w:sz="4" w:space="0" w:color="E5C96E"/>
            </w:tcBorders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704D00"/>
                <w:sz w:val="18"/>
              </w:rPr>
              <w:t xml:space="preserve">Evidence status: </w:t>
            </w:r>
            <w:r>
              <w:rPr>
                <w:rFonts w:ascii="Aptos" w:hAnsi="Aptos"/>
                <w:color w:val="55400F"/>
                <w:sz w:val="18"/>
              </w:rPr>
              <w:t>Documented proposed commercial terms only. Subject to final documentation, approvals and execution; not an executed unconditional commitment.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Facility amount</w:t>
            </w:r>
          </w:p>
        </w:tc>
        <w:tc>
          <w:tcPr>
            <w:tcW w:type="dxa" w:w="6912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£8,000,000</w:t>
            </w:r>
          </w:p>
        </w:tc>
      </w:tr>
      <w:tr>
        <w:tc>
          <w:tcPr>
            <w:tcW w:type="dxa" w:w="2880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Term and repayment</w:t>
            </w:r>
          </w:p>
        </w:tc>
        <w:tc>
          <w:tcPr>
            <w:tcW w:type="dxa" w:w="6912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Five years; interest-only. The £8,000,000 principal remains outstanding during this comparison horizon.</w:t>
            </w:r>
          </w:p>
        </w:tc>
      </w:tr>
      <w:tr>
        <w:tc>
          <w:tcPr>
            <w:tcW w:type="dxa" w:w="2880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Fixed annual interest rate</w:t>
            </w:r>
          </w:p>
        </w:tc>
        <w:tc>
          <w:tcPr>
            <w:tcW w:type="dxa" w:w="6912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4.80% p.a.</w:t>
            </w:r>
          </w:p>
        </w:tc>
      </w:tr>
      <w:tr>
        <w:tc>
          <w:tcPr>
            <w:tcW w:type="dxa" w:w="2880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Arrangement fee</w:t>
            </w:r>
          </w:p>
        </w:tc>
        <w:tc>
          <w:tcPr>
            <w:tcW w:type="dxa" w:w="6912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0.75% of principal (£60,000), payable at inception.</w:t>
            </w:r>
          </w:p>
        </w:tc>
      </w:tr>
      <w:tr>
        <w:tc>
          <w:tcPr>
            <w:tcW w:type="dxa" w:w="2880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Early termination</w:t>
            </w:r>
          </w:p>
        </w:tc>
        <w:tc>
          <w:tcPr>
            <w:tcW w:type="dxa" w:w="6912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Exit in year three: 3% of outstanding principal (£240,000 while £8,000,000 remains outstanding).</w:t>
            </w:r>
          </w:p>
        </w:tc>
      </w:tr>
      <w:tr>
        <w:tc>
          <w:tcPr>
            <w:tcW w:type="dxa" w:w="2880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Provider-failure exception</w:t>
            </w:r>
          </w:p>
        </w:tc>
        <w:tc>
          <w:tcPr>
            <w:tcW w:type="dxa" w:w="6912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None in the written terms. No signed exception removes the early-termination fee for this edge case.</w:t>
            </w:r>
          </w:p>
        </w:tc>
      </w:tr>
    </w:tbl>
    <w:p>
      <w:pPr>
        <w:spacing w:after="60"/>
      </w:pPr>
    </w:p>
    <w:p>
      <w:pPr>
        <w:spacing w:before="40" w:after="0"/>
      </w:pPr>
      <w:r>
        <w:rPr>
          <w:rFonts w:ascii="Aptos" w:hAnsi="Aptos"/>
          <w:i/>
          <w:color w:val="5B6974"/>
          <w:sz w:val="16"/>
        </w:rPr>
        <w:t>Source A: Duncastle Holdings, Indicative Financing Term Sheet v1.3, commercial team circulation.</w:t>
      </w:r>
    </w:p>
    <w:p>
      <w:r>
        <w:br w:type="page"/>
      </w:r>
    </w:p>
    <w:p>
      <w:pPr>
        <w:spacing w:before="20" w:after="60"/>
      </w:pPr>
      <w:r>
        <w:rPr>
          <w:rFonts w:ascii="Aptos Display" w:hAnsi="Aptos Display"/>
          <w:b/>
          <w:color w:val="186378"/>
          <w:sz w:val="17"/>
        </w:rPr>
        <w:t>SOURCE B | WRITTEN EXISTING ARRANGEMENT</w:t>
      </w:r>
    </w:p>
    <w:p>
      <w:pPr>
        <w:pStyle w:val="Heading1"/>
        <w:spacing w:after="60"/>
      </w:pPr>
      <w:r>
        <w:t>Current Provider - Existing Arrangement Extract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F"/>
            <w:tcBorders>
              <w:top w:val="single" w:sz="4" w:space="0" w:color="E5C96E"/>
              <w:left w:val="single" w:sz="4" w:space="0" w:color="E5C96E"/>
              <w:bottom w:val="single" w:sz="4" w:space="0" w:color="E5C96E"/>
              <w:right w:val="single" w:sz="4" w:space="0" w:color="E5C96E"/>
            </w:tcBorders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704D00"/>
                <w:sz w:val="18"/>
              </w:rPr>
              <w:t xml:space="preserve">Evidence status: </w:t>
            </w:r>
            <w:r>
              <w:rPr>
                <w:rFonts w:ascii="Aptos" w:hAnsi="Aptos"/>
                <w:color w:val="55400F"/>
                <w:sz w:val="18"/>
              </w:rPr>
              <w:t>Existing documented provider arrangement. The arrangement is available to remain in place through the Friday approval meeting.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Facility amount</w:t>
            </w:r>
          </w:p>
        </w:tc>
        <w:tc>
          <w:tcPr>
            <w:tcW w:type="dxa" w:w="6912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£8,000,000</w:t>
            </w:r>
          </w:p>
        </w:tc>
      </w:tr>
      <w:tr>
        <w:tc>
          <w:tcPr>
            <w:tcW w:type="dxa" w:w="2880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Comparison basis</w:t>
            </w:r>
          </w:p>
        </w:tc>
        <w:tc>
          <w:tcPr>
            <w:tcW w:type="dxa" w:w="6912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Same five-year interest-only basis; principal remains outstanding for the comparison.</w:t>
            </w:r>
          </w:p>
        </w:tc>
      </w:tr>
      <w:tr>
        <w:tc>
          <w:tcPr>
            <w:tcW w:type="dxa" w:w="2880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Fixed annual interest rate</w:t>
            </w:r>
          </w:p>
        </w:tc>
        <w:tc>
          <w:tcPr>
            <w:tcW w:type="dxa" w:w="6912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5.25% p.a.</w:t>
            </w:r>
          </w:p>
        </w:tc>
      </w:tr>
      <w:tr>
        <w:tc>
          <w:tcPr>
            <w:tcW w:type="dxa" w:w="2880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Upfront arrangement fee</w:t>
            </w:r>
          </w:p>
        </w:tc>
        <w:tc>
          <w:tcPr>
            <w:tcW w:type="dxa" w:w="6912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None.</w:t>
            </w:r>
          </w:p>
        </w:tc>
      </w:tr>
      <w:tr>
        <w:tc>
          <w:tcPr>
            <w:tcW w:type="dxa" w:w="2880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Termination</w:t>
            </w:r>
          </w:p>
        </w:tc>
        <w:tc>
          <w:tcPr>
            <w:tcW w:type="dxa" w:w="6912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Yewbank may terminate on 90 days' written notice without an early-termination charge.</w:t>
            </w:r>
          </w:p>
        </w:tc>
      </w:tr>
      <w:tr>
        <w:tc>
          <w:tcPr>
            <w:tcW w:type="dxa" w:w="2880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Availability</w:t>
            </w:r>
          </w:p>
        </w:tc>
        <w:tc>
          <w:tcPr>
            <w:tcW w:type="dxa" w:w="6912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Existing arrangement can remain in place through Friday's approval meeting.</w:t>
            </w:r>
          </w:p>
        </w:tc>
      </w:tr>
    </w:tbl>
    <w:p>
      <w:pPr>
        <w:spacing w:after="60"/>
      </w:pPr>
    </w:p>
    <w:p>
      <w:pPr>
        <w:spacing w:before="40" w:after="0"/>
      </w:pPr>
      <w:r>
        <w:rPr>
          <w:rFonts w:ascii="Aptos" w:hAnsi="Aptos"/>
          <w:i/>
          <w:color w:val="5B6974"/>
          <w:sz w:val="16"/>
        </w:rPr>
        <w:t>Source B: Current Provider, Existing Arrangement Extract, facility operations record.</w:t>
      </w:r>
    </w:p>
    <w:p>
      <w:r>
        <w:br w:type="page"/>
      </w:r>
    </w:p>
    <w:p>
      <w:pPr>
        <w:spacing w:before="20" w:after="60"/>
      </w:pPr>
      <w:r>
        <w:rPr>
          <w:rFonts w:ascii="Aptos Display" w:hAnsi="Aptos Display"/>
          <w:b/>
          <w:color w:val="186378"/>
          <w:sz w:val="17"/>
        </w:rPr>
        <w:t>SOURCE C | INFORMAL STAKEHOLDER VIEW</w:t>
      </w:r>
    </w:p>
    <w:p>
      <w:pPr>
        <w:pStyle w:val="Heading1"/>
        <w:spacing w:after="60"/>
      </w:pPr>
      <w:r>
        <w:t>Email - Milena Fournier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584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From</w:t>
            </w:r>
          </w:p>
        </w:tc>
        <w:tc>
          <w:tcPr>
            <w:tcW w:type="dxa" w:w="8208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Milena Fournier</w:t>
            </w:r>
          </w:p>
        </w:tc>
      </w:tr>
      <w:tr>
        <w:tc>
          <w:tcPr>
            <w:tcW w:type="dxa" w:w="1584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To</w:t>
            </w:r>
          </w:p>
        </w:tc>
        <w:tc>
          <w:tcPr>
            <w:tcW w:type="dxa" w:w="8208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Solveig Chidozie</w:t>
            </w:r>
          </w:p>
        </w:tc>
      </w:tr>
      <w:tr>
        <w:tc>
          <w:tcPr>
            <w:tcW w:type="dxa" w:w="1584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Subject</w:t>
            </w:r>
          </w:p>
        </w:tc>
        <w:tc>
          <w:tcPr>
            <w:tcW w:type="dxa" w:w="8208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Duncastle exit fee</w:t>
            </w:r>
          </w:p>
        </w:tc>
      </w:tr>
      <w:tr>
        <w:tc>
          <w:tcPr>
            <w:tcW w:type="dxa" w:w="1584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Status</w:t>
            </w:r>
          </w:p>
        </w:tc>
        <w:tc>
          <w:tcPr>
            <w:tcW w:type="dxa" w:w="8208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Informal stakeholder view; no contractual amendment attached</w:t>
            </w:r>
          </w:p>
        </w:tc>
      </w:tr>
    </w:tbl>
    <w:p>
      <w:pPr>
        <w:spacing w:after="40"/>
      </w:pPr>
    </w:p>
    <w:p>
      <w:pPr>
        <w:spacing w:after="100" w:line="259" w:lineRule="auto"/>
      </w:pPr>
      <w:r>
        <w:rPr>
          <w:rFonts w:ascii="Aptos" w:hAnsi="Aptos"/>
          <w:i w:val="0"/>
          <w:color w:val="1D2935"/>
          <w:sz w:val="20"/>
        </w:rPr>
        <w:t>After a quick call, I understand Duncastle may be able to waive the early-termination fee where a provider failure drives the exit, but this would need internal approval. Nothing in writing has been issued and I do not have confirmation that a waiver has been approved. Please do not treat the waiver as agreed until an approved written exception is available.</w:t>
      </w:r>
    </w:p>
    <w:p>
      <w:pPr>
        <w:spacing w:before="40" w:after="0"/>
      </w:pPr>
      <w:r>
        <w:rPr>
          <w:rFonts w:ascii="Aptos" w:hAnsi="Aptos"/>
          <w:i/>
          <w:color w:val="5B6974"/>
          <w:sz w:val="16"/>
        </w:rPr>
        <w:t>Source C: Email from Milena Fournier, subject 'Duncastle exit fee'.</w:t>
      </w:r>
    </w:p>
    <w:p>
      <w:pPr>
        <w:spacing w:before="20" w:after="60"/>
      </w:pPr>
      <w:r>
        <w:rPr>
          <w:rFonts w:ascii="Aptos Display" w:hAnsi="Aptos Display"/>
          <w:b/>
          <w:color w:val="186378"/>
          <w:sz w:val="17"/>
        </w:rPr>
        <w:t>SOURCE E | YEWBANK STAKEHOLDER FEEDBACK</w:t>
      </w:r>
    </w:p>
    <w:p>
      <w:pPr>
        <w:pStyle w:val="Heading1"/>
        <w:spacing w:after="60"/>
      </w:pPr>
      <w:r>
        <w:t>Feedback - Jacinta Zieliński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584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From</w:t>
            </w:r>
          </w:p>
        </w:tc>
        <w:tc>
          <w:tcPr>
            <w:tcW w:type="dxa" w:w="8208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Jacinta Zieliński</w:t>
            </w:r>
          </w:p>
        </w:tc>
      </w:tr>
      <w:tr>
        <w:tc>
          <w:tcPr>
            <w:tcW w:type="dxa" w:w="1584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To</w:t>
            </w:r>
          </w:p>
        </w:tc>
        <w:tc>
          <w:tcPr>
            <w:tcW w:type="dxa" w:w="8208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Solveig Chidozie</w:t>
            </w:r>
          </w:p>
        </w:tc>
      </w:tr>
      <w:tr>
        <w:tc>
          <w:tcPr>
            <w:tcW w:type="dxa" w:w="1584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Subject</w:t>
            </w:r>
          </w:p>
        </w:tc>
        <w:tc>
          <w:tcPr>
            <w:tcW w:type="dxa" w:w="8208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Termination protection</w:t>
            </w:r>
          </w:p>
        </w:tc>
      </w:tr>
      <w:tr>
        <w:tc>
          <w:tcPr>
            <w:tcW w:type="dxa" w:w="1584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Status</w:t>
            </w:r>
          </w:p>
        </w:tc>
        <w:tc>
          <w:tcPr>
            <w:tcW w:type="dxa" w:w="8208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Yewbank stakeholder requirement and concern</w:t>
            </w:r>
          </w:p>
        </w:tc>
      </w:tr>
    </w:tbl>
    <w:p>
      <w:pPr>
        <w:spacing w:after="40"/>
      </w:pPr>
    </w:p>
    <w:p>
      <w:pPr>
        <w:spacing w:after="100" w:line="259" w:lineRule="auto"/>
      </w:pPr>
      <w:r>
        <w:rPr>
          <w:rFonts w:ascii="Aptos" w:hAnsi="Aptos"/>
          <w:i w:val="0"/>
          <w:color w:val="1D2935"/>
          <w:sz w:val="20"/>
        </w:rPr>
        <w:t>Equivalent termination protection must be preserved in the provider-failure or early-exit edge case. The lower financing cost matters to Yewbank, but the protection requirement is not to be silently traded away.</w:t>
      </w:r>
    </w:p>
    <w:p>
      <w:pPr>
        <w:spacing w:before="40" w:after="0"/>
      </w:pPr>
      <w:r>
        <w:rPr>
          <w:rFonts w:ascii="Aptos" w:hAnsi="Aptos"/>
          <w:i/>
          <w:color w:val="5B6974"/>
          <w:sz w:val="16"/>
        </w:rPr>
        <w:t>Source E: Feedback from Jacinta Zieliński, subject 'Termination protection'.</w:t>
      </w:r>
    </w:p>
    <w:p>
      <w:r>
        <w:br w:type="page"/>
      </w:r>
    </w:p>
    <w:p>
      <w:pPr>
        <w:spacing w:before="20" w:after="60"/>
      </w:pPr>
      <w:r>
        <w:rPr>
          <w:rFonts w:ascii="Aptos Display" w:hAnsi="Aptos Display"/>
          <w:b/>
          <w:color w:val="186378"/>
          <w:sz w:val="17"/>
        </w:rPr>
        <w:t>SOURCE D | INTERNAL REVIEW NOTES</w:t>
      </w:r>
    </w:p>
    <w:p>
      <w:pPr>
        <w:pStyle w:val="Heading1"/>
        <w:spacing w:after="60"/>
      </w:pPr>
      <w:r>
        <w:t>Interview notes - Ragnhild Novotny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F"/>
            <w:tcBorders>
              <w:top w:val="single" w:sz="4" w:space="0" w:color="E5C96E"/>
              <w:left w:val="single" w:sz="4" w:space="0" w:color="E5C96E"/>
              <w:bottom w:val="single" w:sz="4" w:space="0" w:color="E5C96E"/>
              <w:right w:val="single" w:sz="4" w:space="0" w:color="E5C96E"/>
            </w:tcBorders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704D00"/>
                <w:sz w:val="18"/>
              </w:rPr>
              <w:t xml:space="preserve">Evidence status: </w:t>
            </w:r>
            <w:r>
              <w:rPr>
                <w:rFonts w:ascii="Aptos" w:hAnsi="Aptos"/>
                <w:color w:val="55400F"/>
                <w:sz w:val="18"/>
              </w:rPr>
              <w:t>Internal review evidence and professional interpretation, with explicit jurisdictional status boundaries.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England review</w:t>
            </w:r>
          </w:p>
        </w:tc>
        <w:tc>
          <w:tcPr>
            <w:tcW w:type="dxa" w:w="6912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Complete. The internal equivalence criterion is no-fee termination on material provider failure with stated notice protection.</w:t>
            </w:r>
          </w:p>
        </w:tc>
      </w:tr>
      <w:tr>
        <w:tc>
          <w:tcPr>
            <w:tcW w:type="dxa" w:w="2880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England mapping</w:t>
            </w:r>
          </w:p>
        </w:tc>
        <w:tc>
          <w:tcPr>
            <w:tcW w:type="dxa" w:w="6912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The Current Provider's documented protection - no-fee termination on 90 days' notice - maps to the completed England criterion.</w:t>
            </w:r>
          </w:p>
        </w:tc>
      </w:tr>
      <w:tr>
        <w:tc>
          <w:tcPr>
            <w:tcW w:type="dxa" w:w="2880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Scotland review</w:t>
            </w:r>
          </w:p>
        </w:tc>
        <w:tc>
          <w:tcPr>
            <w:tcW w:type="dxa" w:w="6912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The Scotland review and jurisdictional mapping are incomplete before the Friday approval meeting.</w:t>
            </w:r>
          </w:p>
        </w:tc>
      </w:tr>
      <w:tr>
        <w:tc>
          <w:tcPr>
            <w:tcW w:type="dxa" w:w="2880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Scotland boundary</w:t>
            </w:r>
          </w:p>
        </w:tc>
        <w:tc>
          <w:tcPr>
            <w:tcW w:type="dxa" w:w="6912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The incomplete Scotland review supports no conclusion that either alternative is compliant or equivalent there. The England conclusion does not close the Scotland question.</w:t>
            </w:r>
          </w:p>
        </w:tc>
      </w:tr>
    </w:tbl>
    <w:p>
      <w:pPr>
        <w:spacing w:after="60"/>
      </w:pPr>
    </w:p>
    <w:p>
      <w:pPr>
        <w:spacing w:before="40" w:after="0"/>
      </w:pPr>
      <w:r>
        <w:rPr>
          <w:rFonts w:ascii="Aptos" w:hAnsi="Aptos"/>
          <w:i/>
          <w:color w:val="5B6974"/>
          <w:sz w:val="16"/>
        </w:rPr>
        <w:t>Source D: Ragnhild Novotny interview notes, jurisdiction comparison review.</w:t>
      </w:r>
    </w:p>
    <w:p>
      <w:pPr>
        <w:spacing w:before="20" w:after="60"/>
      </w:pPr>
      <w:r>
        <w:rPr>
          <w:rFonts w:ascii="Aptos Display" w:hAnsi="Aptos Display"/>
          <w:b/>
          <w:color w:val="186378"/>
          <w:sz w:val="17"/>
        </w:rPr>
        <w:t>SOURCE F | OPERATIONAL FEASIBILITY</w:t>
      </w:r>
    </w:p>
    <w:p>
      <w:pPr>
        <w:pStyle w:val="Heading1"/>
        <w:spacing w:after="60"/>
      </w:pPr>
      <w:r>
        <w:t>Operational feedback - Lars Underwood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584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From</w:t>
            </w:r>
          </w:p>
        </w:tc>
        <w:tc>
          <w:tcPr>
            <w:tcW w:type="dxa" w:w="8208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Lars Underwood</w:t>
            </w:r>
          </w:p>
        </w:tc>
      </w:tr>
      <w:tr>
        <w:tc>
          <w:tcPr>
            <w:tcW w:type="dxa" w:w="1584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To</w:t>
            </w:r>
          </w:p>
        </w:tc>
        <w:tc>
          <w:tcPr>
            <w:tcW w:type="dxa" w:w="8208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Solveig Chidozie</w:t>
            </w:r>
          </w:p>
        </w:tc>
      </w:tr>
      <w:tr>
        <w:tc>
          <w:tcPr>
            <w:tcW w:type="dxa" w:w="1584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Subject</w:t>
            </w:r>
          </w:p>
        </w:tc>
        <w:tc>
          <w:tcPr>
            <w:tcW w:type="dxa" w:w="8208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Friday continuity</w:t>
            </w:r>
          </w:p>
        </w:tc>
      </w:tr>
      <w:tr>
        <w:tc>
          <w:tcPr>
            <w:tcW w:type="dxa" w:w="1584"/>
            <w:shd w:fill="EEF3F6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B62"/>
                <w:sz w:val="18"/>
              </w:rPr>
              <w:t>Status</w:t>
            </w:r>
          </w:p>
        </w:tc>
        <w:tc>
          <w:tcPr>
            <w:tcW w:type="dxa" w:w="8208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D2935"/>
                <w:sz w:val="18"/>
              </w:rPr>
              <w:t>Operational feasibility observation</w:t>
            </w:r>
          </w:p>
        </w:tc>
      </w:tr>
    </w:tbl>
    <w:p>
      <w:pPr>
        <w:spacing w:after="40"/>
      </w:pPr>
    </w:p>
    <w:p>
      <w:pPr>
        <w:spacing w:after="100" w:line="259" w:lineRule="auto"/>
      </w:pPr>
      <w:r>
        <w:rPr>
          <w:rFonts w:ascii="Aptos" w:hAnsi="Aptos"/>
          <w:i w:val="0"/>
          <w:color w:val="1D2935"/>
          <w:sz w:val="20"/>
        </w:rPr>
        <w:t>Retaining the Current Provider is operationally available through Friday and can serve as a temporary fallback while documented Duncastle protection and the Scotland jurisdiction review remain unresolved.</w:t>
      </w:r>
    </w:p>
    <w:p>
      <w:pPr>
        <w:spacing w:before="40" w:after="0"/>
      </w:pPr>
      <w:r>
        <w:rPr>
          <w:rFonts w:ascii="Aptos" w:hAnsi="Aptos"/>
          <w:i/>
          <w:color w:val="5B6974"/>
          <w:sz w:val="16"/>
        </w:rPr>
        <w:t>Source F: Operational feedback from Lars Underwood, subject 'Friday continuity'.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color w:val="5B6974"/>
        <w:sz w:val="16"/>
      </w:rPr>
      <w:t>Financing stakeholder evidence pack | Approval preparation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974"/>
        <w:sz w:val="16"/>
      </w:rPr>
      <w:t>Duncastle Holdings | Yewbank School District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04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04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Yewbank School District Financing Stakeholder Evidence Pack</dc:title>
  <dc:subject>Commercial terms and stakeholder evidence</dc:subject>
  <dc:creator>Duncastle Holdings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