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b/>
          <w:color w:val="1F4E79"/>
          <w:sz w:val="20"/>
        </w:rPr>
        <w:t>GOLDFINCH ALLIANCE</w:t>
      </w:r>
    </w:p>
    <w:p>
      <w:pPr>
        <w:spacing w:before="0" w:after="20"/>
      </w:pPr>
      <w:r>
        <w:rPr>
          <w:b/>
          <w:color w:val="1F4E79"/>
          <w:sz w:val="34"/>
        </w:rPr>
        <w:t>Executive QAPI Summary | FY2025</w:t>
      </w:r>
    </w:p>
    <w:p>
      <w:pPr>
        <w:spacing w:before="0" w:after="120"/>
      </w:pPr>
      <w:r>
        <w:rPr>
          <w:b w:val="0"/>
          <w:color w:val="555555"/>
          <w:sz w:val="17"/>
        </w:rPr>
        <w:t>For Bekele Underwood and governing-body review | November meeting | Prepared by Sofia Sepulveda, RN Quality Lead</w:t>
      </w:r>
    </w:p>
    <w:p>
      <w:pPr>
        <w:spacing w:before="0" w:after="40"/>
      </w:pPr>
      <w:r>
        <w:rPr>
          <w:b/>
          <w:color w:val="1F4E79"/>
          <w:sz w:val="22"/>
        </w:rPr>
        <w:t>Decision issue at a glance</w:t>
      </w:r>
    </w:p>
    <w:p>
      <w:pPr>
        <w:spacing w:before="0" w:after="60"/>
      </w:pPr>
      <w:r>
        <w:rPr>
          <w:b w:val="0"/>
          <w:sz w:val="17"/>
        </w:rPr>
        <w:t>Vascular-access infection events increased in Q4 2025 to 3 events over 1,240 central-line days (2.42 per 1,000 line-days), after 0.00 in Q1, 0.78 in Q2, and 0.76 in Q3. The FY2024 comparison was 2/5,180 (0.39 per 1,000 line-days). This is the only measure the annual report identifies for governing-body decision context. The figures show a concerning trend; they do not establish a cause, threshold breach, or legal or contractual finding.</w:t>
      </w:r>
    </w:p>
    <w:p>
      <w:pPr>
        <w:spacing w:before="0" w:after="40"/>
      </w:pPr>
      <w:r>
        <w:rPr>
          <w:b/>
          <w:color w:val="1F4E79"/>
          <w:sz w:val="22"/>
        </w:rPr>
        <w:t>Executive measure snapshot</w:t>
      </w:r>
    </w:p>
    <w:tbl>
      <w:tblPr>
        <w:tblW w:type="auto" w:w="0"/>
        <w:jc w:val="center"/>
        <w:tblLayout w:type="fixed"/>
        <w:tblLook w:firstColumn="1" w:firstRow="1" w:lastColumn="0" w:lastRow="0" w:noHBand="0" w:noVBand="1" w:val="04A0"/>
      </w:tblPr>
      <w:tblGrid>
        <w:gridCol w:w="2131"/>
        <w:gridCol w:w="2131"/>
        <w:gridCol w:w="2131"/>
        <w:gridCol w:w="2131"/>
        <w:gridCol w:w="2131"/>
      </w:tblGrid>
      <w:tr>
        <w:trPr>
          <w:tblHeader w:val="true"/>
        </w:trPr>
        <w:tc>
          <w:tcPr>
            <w:tcW w:type="dxa" w:w="3528"/>
            <w:vAlign w:val="center"/>
            <w:shd w:fill="1F4E79"/>
            <w:tcMar>
              <w:top w:w="60" w:type="dxa"/>
              <w:start w:w="80" w:type="dxa"/>
              <w:bottom w:w="60" w:type="dxa"/>
              <w:end w:w="80" w:type="dxa"/>
            </w:tcMar>
          </w:tcPr>
          <w:p>
            <w:pPr>
              <w:spacing w:after="0"/>
            </w:pPr>
            <w:r/>
            <w:r>
              <w:rPr>
                <w:b/>
                <w:color w:val="FFFFFF"/>
                <w:sz w:val="16"/>
              </w:rPr>
              <w:t>Service line / measure</w:t>
            </w:r>
          </w:p>
        </w:tc>
        <w:tc>
          <w:tcPr>
            <w:tcW w:type="dxa" w:w="1440"/>
            <w:vAlign w:val="center"/>
            <w:shd w:fill="1F4E79"/>
            <w:tcMar>
              <w:top w:w="60" w:type="dxa"/>
              <w:start w:w="80" w:type="dxa"/>
              <w:bottom w:w="60" w:type="dxa"/>
              <w:end w:w="80" w:type="dxa"/>
            </w:tcMar>
          </w:tcPr>
          <w:p>
            <w:pPr>
              <w:spacing w:after="0"/>
            </w:pPr>
            <w:r/>
            <w:r>
              <w:rPr>
                <w:b/>
                <w:color w:val="FFFFFF"/>
                <w:sz w:val="16"/>
              </w:rPr>
              <w:t>Period</w:t>
            </w:r>
          </w:p>
        </w:tc>
        <w:tc>
          <w:tcPr>
            <w:tcW w:type="dxa" w:w="3024"/>
            <w:vAlign w:val="center"/>
            <w:shd w:fill="1F4E79"/>
            <w:tcMar>
              <w:top w:w="60" w:type="dxa"/>
              <w:start w:w="80" w:type="dxa"/>
              <w:bottom w:w="60" w:type="dxa"/>
              <w:end w:w="80" w:type="dxa"/>
            </w:tcMar>
          </w:tcPr>
          <w:p>
            <w:pPr>
              <w:spacing w:after="0"/>
            </w:pPr>
            <w:r/>
            <w:r>
              <w:rPr>
                <w:b/>
                <w:color w:val="FFFFFF"/>
                <w:sz w:val="16"/>
              </w:rPr>
              <w:t>Population / denominator</w:t>
            </w:r>
          </w:p>
        </w:tc>
        <w:tc>
          <w:tcPr>
            <w:tcW w:type="dxa" w:w="1512"/>
            <w:vAlign w:val="center"/>
            <w:shd w:fill="1F4E79"/>
            <w:tcMar>
              <w:top w:w="60" w:type="dxa"/>
              <w:start w:w="80" w:type="dxa"/>
              <w:bottom w:w="60" w:type="dxa"/>
              <w:end w:w="80" w:type="dxa"/>
            </w:tcMar>
          </w:tcPr>
          <w:p>
            <w:pPr>
              <w:spacing w:after="0"/>
            </w:pPr>
            <w:r/>
            <w:r>
              <w:rPr>
                <w:b/>
                <w:color w:val="FFFFFF"/>
                <w:sz w:val="16"/>
              </w:rPr>
              <w:t>Result</w:t>
            </w:r>
          </w:p>
        </w:tc>
        <w:tc>
          <w:tcPr>
            <w:tcW w:type="dxa" w:w="1944"/>
            <w:vAlign w:val="center"/>
            <w:shd w:fill="1F4E79"/>
            <w:tcMar>
              <w:top w:w="60" w:type="dxa"/>
              <w:start w:w="80" w:type="dxa"/>
              <w:bottom w:w="60" w:type="dxa"/>
              <w:end w:w="80" w:type="dxa"/>
            </w:tcMar>
          </w:tcPr>
          <w:p>
            <w:pPr>
              <w:spacing w:after="0"/>
            </w:pPr>
            <w:r/>
            <w:r>
              <w:rPr>
                <w:b/>
                <w:color w:val="FFFFFF"/>
                <w:sz w:val="16"/>
              </w:rPr>
              <w:t>Status</w:t>
            </w:r>
          </w:p>
        </w:tc>
      </w:tr>
      <w:tr>
        <w:tc>
          <w:tcPr>
            <w:tcW w:type="dxa" w:w="3528"/>
            <w:vAlign w:val="center"/>
            <w:tcMar>
              <w:top w:w="60" w:type="dxa"/>
              <w:start w:w="80" w:type="dxa"/>
              <w:bottom w:w="60" w:type="dxa"/>
              <w:end w:w="80" w:type="dxa"/>
            </w:tcMar>
            <w:shd w:fill="F2F6FA"/>
          </w:tcPr>
          <w:p>
            <w:pPr>
              <w:spacing w:after="0"/>
            </w:pPr>
            <w:r/>
            <w:r>
              <w:rPr>
                <w:b w:val="0"/>
                <w:color w:val="000000"/>
                <w:sz w:val="15"/>
              </w:rPr>
              <w:t>Home Health — medication reconciliation within 48 hours</w:t>
            </w:r>
          </w:p>
        </w:tc>
        <w:tc>
          <w:tcPr>
            <w:tcW w:type="dxa" w:w="1440"/>
            <w:vAlign w:val="center"/>
            <w:tcMar>
              <w:top w:w="60" w:type="dxa"/>
              <w:start w:w="80" w:type="dxa"/>
              <w:bottom w:w="60" w:type="dxa"/>
              <w:end w:w="80" w:type="dxa"/>
            </w:tcMar>
            <w:shd w:fill="F2F6FA"/>
          </w:tcPr>
          <w:p>
            <w:pPr>
              <w:spacing w:after="0"/>
            </w:pPr>
            <w:r/>
            <w:r>
              <w:rPr>
                <w:b w:val="0"/>
                <w:color w:val="000000"/>
                <w:sz w:val="15"/>
              </w:rPr>
              <w:t>FY2025 (FY2024 comparison)</w:t>
            </w:r>
          </w:p>
        </w:tc>
        <w:tc>
          <w:tcPr>
            <w:tcW w:type="dxa" w:w="3024"/>
            <w:vAlign w:val="center"/>
            <w:tcMar>
              <w:top w:w="60" w:type="dxa"/>
              <w:start w:w="80" w:type="dxa"/>
              <w:bottom w:w="60" w:type="dxa"/>
              <w:end w:w="80" w:type="dxa"/>
            </w:tcMar>
            <w:shd w:fill="F2F6FA"/>
          </w:tcPr>
          <w:p>
            <w:pPr>
              <w:spacing w:after="0"/>
            </w:pPr>
            <w:r/>
            <w:r>
              <w:rPr>
                <w:b w:val="0"/>
                <w:color w:val="000000"/>
                <w:sz w:val="15"/>
              </w:rPr>
              <w:t>100 eligible starts (prior 100)</w:t>
            </w:r>
          </w:p>
        </w:tc>
        <w:tc>
          <w:tcPr>
            <w:tcW w:type="dxa" w:w="1512"/>
            <w:vAlign w:val="center"/>
            <w:tcMar>
              <w:top w:w="60" w:type="dxa"/>
              <w:start w:w="80" w:type="dxa"/>
              <w:bottom w:w="60" w:type="dxa"/>
              <w:end w:w="80" w:type="dxa"/>
            </w:tcMar>
            <w:shd w:fill="F2F6FA"/>
          </w:tcPr>
          <w:p>
            <w:pPr>
              <w:spacing w:after="0"/>
            </w:pPr>
            <w:r/>
            <w:r>
              <w:rPr>
                <w:b w:val="0"/>
                <w:color w:val="000000"/>
                <w:sz w:val="15"/>
              </w:rPr>
              <w:t>98/100 = 98% (prior 96%)</w:t>
            </w:r>
          </w:p>
        </w:tc>
        <w:tc>
          <w:tcPr>
            <w:tcW w:type="dxa" w:w="1944"/>
            <w:vAlign w:val="center"/>
            <w:tcMar>
              <w:top w:w="60" w:type="dxa"/>
              <w:start w:w="80" w:type="dxa"/>
              <w:bottom w:w="60" w:type="dxa"/>
              <w:end w:w="80" w:type="dxa"/>
            </w:tcMar>
            <w:shd w:fill="F2F6FA"/>
          </w:tcPr>
          <w:p>
            <w:pPr>
              <w:spacing w:after="0"/>
            </w:pPr>
            <w:r/>
            <w:r>
              <w:rPr>
                <w:b w:val="0"/>
                <w:color w:val="000000"/>
                <w:sz w:val="15"/>
              </w:rPr>
              <w:t>Stable</w:t>
            </w:r>
          </w:p>
        </w:tc>
      </w:tr>
      <w:tr>
        <w:tc>
          <w:tcPr>
            <w:tcW w:type="dxa" w:w="3528"/>
            <w:vAlign w:val="center"/>
            <w:tcMar>
              <w:top w:w="60" w:type="dxa"/>
              <w:start w:w="80" w:type="dxa"/>
              <w:bottom w:w="60" w:type="dxa"/>
              <w:end w:w="80" w:type="dxa"/>
            </w:tcMar>
            <w:shd w:fill="FFFFFF"/>
          </w:tcPr>
          <w:p>
            <w:pPr>
              <w:spacing w:after="0"/>
            </w:pPr>
            <w:r/>
            <w:r>
              <w:rPr>
                <w:b w:val="0"/>
                <w:color w:val="000000"/>
                <w:sz w:val="15"/>
              </w:rPr>
              <w:t>Hospice — symptom reassessment within 48 hours of urgent call</w:t>
            </w:r>
          </w:p>
        </w:tc>
        <w:tc>
          <w:tcPr>
            <w:tcW w:type="dxa" w:w="1440"/>
            <w:vAlign w:val="center"/>
            <w:tcMar>
              <w:top w:w="60" w:type="dxa"/>
              <w:start w:w="80" w:type="dxa"/>
              <w:bottom w:w="60" w:type="dxa"/>
              <w:end w:w="80" w:type="dxa"/>
            </w:tcMar>
            <w:shd w:fill="FFFFFF"/>
          </w:tcPr>
          <w:p>
            <w:pPr>
              <w:spacing w:after="0"/>
            </w:pPr>
            <w:r/>
            <w:r>
              <w:rPr>
                <w:b w:val="0"/>
                <w:color w:val="000000"/>
                <w:sz w:val="15"/>
              </w:rPr>
              <w:t>FY2025 (FY2024 comparison)</w:t>
            </w:r>
          </w:p>
        </w:tc>
        <w:tc>
          <w:tcPr>
            <w:tcW w:type="dxa" w:w="3024"/>
            <w:vAlign w:val="center"/>
            <w:tcMar>
              <w:top w:w="60" w:type="dxa"/>
              <w:start w:w="80" w:type="dxa"/>
              <w:bottom w:w="60" w:type="dxa"/>
              <w:end w:w="80" w:type="dxa"/>
            </w:tcMar>
            <w:shd w:fill="FFFFFF"/>
          </w:tcPr>
          <w:p>
            <w:pPr>
              <w:spacing w:after="0"/>
            </w:pPr>
            <w:r/>
            <w:r>
              <w:rPr>
                <w:b w:val="0"/>
                <w:color w:val="000000"/>
                <w:sz w:val="15"/>
              </w:rPr>
              <w:t>50 urgent calls (prior 50)</w:t>
            </w:r>
          </w:p>
        </w:tc>
        <w:tc>
          <w:tcPr>
            <w:tcW w:type="dxa" w:w="1512"/>
            <w:vAlign w:val="center"/>
            <w:tcMar>
              <w:top w:w="60" w:type="dxa"/>
              <w:start w:w="80" w:type="dxa"/>
              <w:bottom w:w="60" w:type="dxa"/>
              <w:end w:w="80" w:type="dxa"/>
            </w:tcMar>
            <w:shd w:fill="FFFFFF"/>
          </w:tcPr>
          <w:p>
            <w:pPr>
              <w:spacing w:after="0"/>
            </w:pPr>
            <w:r/>
            <w:r>
              <w:rPr>
                <w:b w:val="0"/>
                <w:color w:val="000000"/>
                <w:sz w:val="15"/>
              </w:rPr>
              <w:t>47/50 = 94% (prior 90%)</w:t>
            </w:r>
          </w:p>
        </w:tc>
        <w:tc>
          <w:tcPr>
            <w:tcW w:type="dxa" w:w="1944"/>
            <w:vAlign w:val="center"/>
            <w:tcMar>
              <w:top w:w="60" w:type="dxa"/>
              <w:start w:w="80" w:type="dxa"/>
              <w:bottom w:w="60" w:type="dxa"/>
              <w:end w:w="80" w:type="dxa"/>
            </w:tcMar>
            <w:shd w:fill="FFFFFF"/>
          </w:tcPr>
          <w:p>
            <w:pPr>
              <w:spacing w:after="0"/>
            </w:pPr>
            <w:r/>
            <w:r>
              <w:rPr>
                <w:b w:val="0"/>
                <w:color w:val="000000"/>
                <w:sz w:val="15"/>
              </w:rPr>
              <w:t>Improving</w:t>
            </w:r>
          </w:p>
        </w:tc>
      </w:tr>
      <w:tr>
        <w:tc>
          <w:tcPr>
            <w:tcW w:type="dxa" w:w="3528"/>
            <w:vAlign w:val="center"/>
            <w:tcMar>
              <w:top w:w="60" w:type="dxa"/>
              <w:start w:w="80" w:type="dxa"/>
              <w:bottom w:w="60" w:type="dxa"/>
              <w:end w:w="80" w:type="dxa"/>
            </w:tcMar>
            <w:shd w:fill="F2F6FA"/>
          </w:tcPr>
          <w:p>
            <w:pPr>
              <w:spacing w:after="0"/>
            </w:pPr>
            <w:r/>
            <w:r>
              <w:rPr>
                <w:b w:val="0"/>
                <w:color w:val="000000"/>
                <w:sz w:val="15"/>
              </w:rPr>
              <w:t>Ravensmoor Manufacturing Occupational Health — exposure follow-up within 2 business days</w:t>
            </w:r>
          </w:p>
        </w:tc>
        <w:tc>
          <w:tcPr>
            <w:tcW w:type="dxa" w:w="1440"/>
            <w:vAlign w:val="center"/>
            <w:tcMar>
              <w:top w:w="60" w:type="dxa"/>
              <w:start w:w="80" w:type="dxa"/>
              <w:bottom w:w="60" w:type="dxa"/>
              <w:end w:w="80" w:type="dxa"/>
            </w:tcMar>
            <w:shd w:fill="F2F6FA"/>
          </w:tcPr>
          <w:p>
            <w:pPr>
              <w:spacing w:after="0"/>
            </w:pPr>
            <w:r/>
            <w:r>
              <w:rPr>
                <w:b w:val="0"/>
                <w:color w:val="000000"/>
                <w:sz w:val="15"/>
              </w:rPr>
              <w:t>Jan–Oct 2025 current process</w:t>
            </w:r>
          </w:p>
        </w:tc>
        <w:tc>
          <w:tcPr>
            <w:tcW w:type="dxa" w:w="3024"/>
            <w:vAlign w:val="center"/>
            <w:tcMar>
              <w:top w:w="60" w:type="dxa"/>
              <w:start w:w="80" w:type="dxa"/>
              <w:bottom w:w="60" w:type="dxa"/>
              <w:end w:w="80" w:type="dxa"/>
            </w:tcMar>
            <w:shd w:fill="F2F6FA"/>
          </w:tcPr>
          <w:p>
            <w:pPr>
              <w:spacing w:after="0"/>
            </w:pPr>
            <w:r/>
            <w:r>
              <w:rPr>
                <w:b w:val="0"/>
                <w:color w:val="000000"/>
                <w:sz w:val="15"/>
              </w:rPr>
              <w:t>20 eligible follow-ups</w:t>
            </w:r>
          </w:p>
        </w:tc>
        <w:tc>
          <w:tcPr>
            <w:tcW w:type="dxa" w:w="1512"/>
            <w:vAlign w:val="center"/>
            <w:tcMar>
              <w:top w:w="60" w:type="dxa"/>
              <w:start w:w="80" w:type="dxa"/>
              <w:bottom w:w="60" w:type="dxa"/>
              <w:end w:w="80" w:type="dxa"/>
            </w:tcMar>
            <w:shd w:fill="F2F6FA"/>
          </w:tcPr>
          <w:p>
            <w:pPr>
              <w:spacing w:after="0"/>
            </w:pPr>
            <w:r/>
            <w:r>
              <w:rPr>
                <w:b w:val="0"/>
                <w:color w:val="000000"/>
                <w:sz w:val="15"/>
              </w:rPr>
              <w:t>18/20 = 90%</w:t>
            </w:r>
          </w:p>
        </w:tc>
        <w:tc>
          <w:tcPr>
            <w:tcW w:type="dxa" w:w="1944"/>
            <w:vAlign w:val="center"/>
            <w:tcMar>
              <w:top w:w="60" w:type="dxa"/>
              <w:start w:w="80" w:type="dxa"/>
              <w:bottom w:w="60" w:type="dxa"/>
              <w:end w:w="80" w:type="dxa"/>
            </w:tcMar>
            <w:shd w:fill="F2F6FA"/>
          </w:tcPr>
          <w:p>
            <w:pPr>
              <w:spacing w:after="0"/>
            </w:pPr>
            <w:r/>
            <w:r>
              <w:rPr>
                <w:b w:val="0"/>
                <w:color w:val="000000"/>
                <w:sz w:val="15"/>
              </w:rPr>
              <w:t>Current process</w:t>
            </w:r>
          </w:p>
        </w:tc>
      </w:tr>
      <w:tr>
        <w:tc>
          <w:tcPr>
            <w:tcW w:type="dxa" w:w="3528"/>
            <w:vAlign w:val="center"/>
            <w:tcMar>
              <w:top w:w="60" w:type="dxa"/>
              <w:start w:w="80" w:type="dxa"/>
              <w:bottom w:w="60" w:type="dxa"/>
              <w:end w:w="80" w:type="dxa"/>
            </w:tcMar>
            <w:shd w:fill="FFFFFF"/>
          </w:tcPr>
          <w:p>
            <w:pPr>
              <w:spacing w:after="0"/>
            </w:pPr>
            <w:r/>
            <w:r>
              <w:rPr>
                <w:b w:val="0"/>
                <w:color w:val="000000"/>
                <w:sz w:val="15"/>
              </w:rPr>
              <w:t>Vascular Access Services — infection events per 1,000 line-days</w:t>
            </w:r>
          </w:p>
        </w:tc>
        <w:tc>
          <w:tcPr>
            <w:tcW w:type="dxa" w:w="1440"/>
            <w:vAlign w:val="center"/>
            <w:tcMar>
              <w:top w:w="60" w:type="dxa"/>
              <w:start w:w="80" w:type="dxa"/>
              <w:bottom w:w="60" w:type="dxa"/>
              <w:end w:w="80" w:type="dxa"/>
            </w:tcMar>
            <w:shd w:fill="FFFFFF"/>
          </w:tcPr>
          <w:p>
            <w:pPr>
              <w:spacing w:after="0"/>
            </w:pPr>
            <w:r/>
            <w:r>
              <w:rPr>
                <w:b w:val="0"/>
                <w:color w:val="000000"/>
                <w:sz w:val="15"/>
              </w:rPr>
              <w:t>Q4 2025 (Q1–Q3 trend; FY2024 comparison)</w:t>
            </w:r>
          </w:p>
        </w:tc>
        <w:tc>
          <w:tcPr>
            <w:tcW w:type="dxa" w:w="3024"/>
            <w:vAlign w:val="center"/>
            <w:tcMar>
              <w:top w:w="60" w:type="dxa"/>
              <w:start w:w="80" w:type="dxa"/>
              <w:bottom w:w="60" w:type="dxa"/>
              <w:end w:w="80" w:type="dxa"/>
            </w:tcMar>
            <w:shd w:fill="FFFFFF"/>
          </w:tcPr>
          <w:p>
            <w:pPr>
              <w:spacing w:after="0"/>
            </w:pPr>
            <w:r/>
            <w:r>
              <w:rPr>
                <w:b w:val="0"/>
                <w:color w:val="000000"/>
                <w:sz w:val="15"/>
              </w:rPr>
              <w:t>1,240 central-line days (FY2024: 5,180)</w:t>
            </w:r>
          </w:p>
        </w:tc>
        <w:tc>
          <w:tcPr>
            <w:tcW w:type="dxa" w:w="1512"/>
            <w:vAlign w:val="center"/>
            <w:tcMar>
              <w:top w:w="60" w:type="dxa"/>
              <w:start w:w="80" w:type="dxa"/>
              <w:bottom w:w="60" w:type="dxa"/>
              <w:end w:w="80" w:type="dxa"/>
            </w:tcMar>
            <w:shd w:fill="FFFFFF"/>
          </w:tcPr>
          <w:p>
            <w:pPr>
              <w:spacing w:after="0"/>
            </w:pPr>
            <w:r/>
            <w:r>
              <w:rPr>
                <w:b w:val="0"/>
                <w:color w:val="000000"/>
                <w:sz w:val="15"/>
              </w:rPr>
              <w:t>3/1,240 = 2.42 per 1,000 (FY2024: 0.39)</w:t>
            </w:r>
          </w:p>
        </w:tc>
        <w:tc>
          <w:tcPr>
            <w:tcW w:type="dxa" w:w="1944"/>
            <w:vAlign w:val="center"/>
            <w:tcMar>
              <w:top w:w="60" w:type="dxa"/>
              <w:start w:w="80" w:type="dxa"/>
              <w:bottom w:w="60" w:type="dxa"/>
              <w:end w:w="80" w:type="dxa"/>
            </w:tcMar>
            <w:shd w:fill="FFFFFF"/>
          </w:tcPr>
          <w:p>
            <w:pPr>
              <w:spacing w:after="0"/>
            </w:pPr>
            <w:r/>
            <w:r>
              <w:rPr>
                <w:b w:val="0"/>
                <w:color w:val="000000"/>
                <w:sz w:val="15"/>
              </w:rPr>
              <w:t>Concerning trend</w:t>
            </w:r>
          </w:p>
        </w:tc>
      </w:tr>
    </w:tbl>
    <w:p>
      <w:pPr>
        <w:spacing w:before="120" w:after="40"/>
      </w:pPr>
      <w:r>
        <w:rPr>
          <w:b/>
          <w:color w:val="1F4E79"/>
          <w:sz w:val="22"/>
        </w:rPr>
        <w:t>Interpretive frame</w:t>
      </w:r>
    </w:p>
    <w:p>
      <w:pPr>
        <w:spacing w:before="0" w:after="60"/>
      </w:pPr>
      <w:r>
        <w:rPr>
          <w:b w:val="0"/>
          <w:sz w:val="17"/>
        </w:rPr>
        <w:t>The four lines are represented proportionately: Home Health is stable, Hospice is improving, Ravensmoor is measured against the process in force during the period, and Vascular Access is the sole concerning trend. Percentages and rates retain their source denominators; event counts are not presented as rates, and rates are not presented as compliance percentages.</w:t>
      </w:r>
    </w:p>
    <w:p>
      <w:pPr>
        <w:spacing w:before="0" w:after="0"/>
      </w:pPr>
      <w:r>
        <w:rPr>
          <w:b w:val="0"/>
          <w:color w:val="666666"/>
          <w:sz w:val="15"/>
        </w:rPr>
        <w:t>Source: Goldfinch Alliance Annual QAPI Report, FY2025, service-line tables and transition appendix. Aggregate data only.</w:t>
      </w:r>
    </w:p>
    <w:p>
      <w:r>
        <w:br w:type="page"/>
      </w:r>
    </w:p>
    <w:p>
      <w:pPr>
        <w:spacing w:before="0" w:after="80"/>
      </w:pPr>
      <w:r>
        <w:rPr>
          <w:b/>
          <w:color w:val="1F4E79"/>
          <w:sz w:val="22"/>
        </w:rPr>
        <w:t>STATUS, TRANSITION, AND EVIDENCE BOUNDARIES</w:t>
      </w:r>
    </w:p>
    <w:p>
      <w:pPr>
        <w:spacing w:before="0" w:after="40"/>
      </w:pPr>
      <w:r>
        <w:rPr>
          <w:b/>
          <w:color w:val="1F4E79"/>
          <w:sz w:val="20"/>
        </w:rPr>
        <w:t>Ravensmoor Manufacturing contracted practice</w:t>
      </w:r>
    </w:p>
    <w:p>
      <w:pPr>
        <w:spacing w:before="0" w:after="60"/>
      </w:pPr>
      <w:r>
        <w:rPr>
          <w:b w:val="0"/>
          <w:sz w:val="17"/>
        </w:rPr>
        <w:t>Current-period process (in force January 1–October 31, 2025): paper log entry plus supervisor sign-off. Eighteen of 20 eligible exposure follow-ups (90%) met the two-business-day interval. During the November 1–December 31 transition window, the electronic attestation workflow ran alongside the paper log; overlap evidence is incomplete and is not combined with the 90% result. The intended end-state process is electronic attestation at the time of follow-up, effective January 1, 2026, subject to the implementation condition in the contract appendix. At December 31, 2025 it was not yet in force.</w:t>
      </w:r>
    </w:p>
    <w:p>
      <w:pPr>
        <w:spacing w:before="100" w:after="40"/>
      </w:pPr>
      <w:r>
        <w:rPr>
          <w:b/>
          <w:color w:val="1F4E79"/>
          <w:sz w:val="20"/>
        </w:rPr>
        <w:t>Compliance versus improvement language</w:t>
      </w:r>
    </w:p>
    <w:p>
      <w:pPr>
        <w:spacing w:before="0" w:after="60"/>
      </w:pPr>
      <w:r>
        <w:rPr>
          <w:b w:val="0"/>
          <w:sz w:val="17"/>
        </w:rPr>
        <w:t>For FY2025, the applicable/current process is the paper-log workflow described above. The electronic workflow is a defined future-state improvement, not a current-period compliance requirement, and its absence in FY2025 is not characterized as a failure. “Must” is reserved for a requirement that is applicable and effective in the source; “should” describes a desirable improvement or an end state not yet effective. The annual report supplies no jurisdiction-specific threshold for the vascular-access rate.</w:t>
      </w:r>
    </w:p>
    <w:p>
      <w:pPr>
        <w:spacing w:before="100" w:after="40"/>
      </w:pPr>
      <w:r>
        <w:rPr>
          <w:b/>
          <w:color w:val="1F4E79"/>
          <w:sz w:val="20"/>
        </w:rPr>
        <w:t>Vascular-access decision context</w:t>
      </w:r>
    </w:p>
    <w:p>
      <w:pPr>
        <w:spacing w:before="0" w:after="60"/>
      </w:pPr>
      <w:r>
        <w:rPr>
          <w:b w:val="0"/>
          <w:sz w:val="17"/>
        </w:rPr>
        <w:t>Quarterly rate sequence: Q1 0/1,260 = 0.00; Q2 1/1,290 = 0.78; Q3 1/1,310 = 0.76; Q4 3/1,240 = 2.42 per 1,000 central-line days. The Q4 result is above each preceding quarter and the FY2024 comparison (2/5,180 = 0.39), which is why it merits governing-body attention relative to the other measures. The report notes a temporal association with a supply change under review; the evidence does not prove causation or identify a patient outcome.</w:t>
      </w:r>
    </w:p>
    <w:p>
      <w:pPr>
        <w:spacing w:before="100" w:after="40"/>
      </w:pPr>
      <w:r>
        <w:rPr>
          <w:b/>
          <w:color w:val="1F4E79"/>
          <w:sz w:val="20"/>
        </w:rPr>
        <w:t>What is before the governing body</w:t>
      </w:r>
    </w:p>
    <w:p>
      <w:pPr>
        <w:spacing w:before="0" w:after="60"/>
      </w:pPr>
      <w:r>
        <w:rPr>
          <w:b w:val="0"/>
          <w:sz w:val="17"/>
        </w:rPr>
        <w:t>Trustees are presented with the vascular-access trend, its denominators, and the evidence limits for decision consideration. The summary records the issue and status distinctions without recommending an action, setting a new threshold, or making a legal, regulatory, or contractual conclusion.</w:t>
      </w:r>
    </w:p>
    <w:p>
      <w:pPr>
        <w:spacing w:before="0" w:after="0"/>
      </w:pPr>
      <w:r>
        <w:rPr>
          <w:b w:val="0"/>
          <w:color w:val="666666"/>
          <w:sz w:val="15"/>
        </w:rPr>
        <w:t>Source basis: Goldfinch Alliance Annual QAPI Report, FY2025. Prepared for November governing-body review.</w:t>
      </w:r>
    </w:p>
    <w:sectPr w:rsidR="00FC693F" w:rsidRPr="0006063C" w:rsidSect="00034616">
      <w:pgSz w:w="12240" w:h="15840"/>
      <w:pgMar w:top="691" w:right="792" w:bottom="691"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