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36B82"/>
          <w:sz w:val="18"/>
        </w:rPr>
        <w:t>VELLUMSTONE PRESS  |  INTERNAL POSITION NOTE</w:t>
      </w:r>
    </w:p>
    <w:p>
      <w:pPr>
        <w:jc w:val="center"/>
      </w:pPr>
      <w:r>
        <w:rPr>
          <w:b/>
          <w:color w:val="1F3750"/>
          <w:sz w:val="36"/>
        </w:rPr>
        <w:t>Tanneryside Bureau sponsorship meeting</w:t>
      </w:r>
    </w:p>
    <w:p>
      <w:pPr>
        <w:jc w:val="center"/>
      </w:pPr>
      <w:r>
        <w:rPr>
          <w:i/>
          <w:sz w:val="18"/>
        </w:rPr>
        <w:t>Thursday • Publisher: Milena Bonneau • Twelve-page grain-handling supplement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5378"/>
          </w:tcPr>
          <w:p>
            <w:pPr>
              <w:spacing w:after="0"/>
            </w:pPr>
            <w:r/>
            <w:r>
              <w:rPr>
                <w:b/>
                <w:color w:val="FFFFFF"/>
                <w:sz w:val="16"/>
              </w:rPr>
              <w:t>Purpose</w:t>
            </w:r>
          </w:p>
        </w:tc>
        <w:tc>
          <w:tcPr>
            <w:tcW w:type="dxa" w:w="2592"/>
            <w:shd w:fill="1F5378"/>
          </w:tcPr>
          <w:p>
            <w:pPr>
              <w:spacing w:after="0"/>
            </w:pPr>
            <w:r/>
            <w:r>
              <w:rPr>
                <w:b/>
                <w:color w:val="FFFFFF"/>
                <w:sz w:val="16"/>
              </w:rPr>
              <w:t>Practice frame</w:t>
            </w:r>
          </w:p>
        </w:tc>
        <w:tc>
          <w:tcPr>
            <w:tcW w:type="dxa" w:w="2592"/>
            <w:shd w:fill="1F5378"/>
          </w:tcPr>
          <w:p>
            <w:pPr>
              <w:spacing w:after="0"/>
            </w:pPr>
            <w:r/>
            <w:r>
              <w:rPr>
                <w:b/>
                <w:color w:val="FFFFFF"/>
                <w:sz w:val="16"/>
              </w:rPr>
              <w:t>Commercial baseline</w:t>
            </w:r>
          </w:p>
        </w:tc>
        <w:tc>
          <w:tcPr>
            <w:tcW w:type="dxa" w:w="2592"/>
            <w:shd w:fill="1F5378"/>
          </w:tcPr>
          <w:p>
            <w:pPr>
              <w:spacing w:after="0"/>
            </w:pPr>
            <w:r/>
            <w:r>
              <w:rPr>
                <w:b/>
                <w:color w:val="FFFFFF"/>
                <w:sz w:val="16"/>
              </w:rPr>
              <w:t>Use in room</w:t>
            </w:r>
          </w:p>
        </w:tc>
      </w:tr>
      <w:tr>
        <w:tc>
          <w:tcPr>
            <w:tcW w:type="dxa" w:w="2592"/>
          </w:tcPr>
          <w:p>
            <w:pPr>
              <w:spacing w:after="0"/>
            </w:pPr>
            <w:r/>
            <w:r>
              <w:rPr>
                <w:b w:val="0"/>
                <w:sz w:val="16"/>
              </w:rPr>
              <w:t>Record the permitted negotiating position; it is not a recommendation to accept or reject the sponsorship.</w:t>
            </w:r>
          </w:p>
        </w:tc>
        <w:tc>
          <w:tcPr>
            <w:tcW w:type="dxa" w:w="2592"/>
          </w:tcPr>
          <w:p>
            <w:pPr>
              <w:spacing w:after="0"/>
            </w:pPr>
            <w:r/>
            <w:r>
              <w:rPr>
                <w:b w:val="0"/>
                <w:sz w:val="16"/>
              </w:rPr>
              <w:t>UK publication and advertising practice as at 1 February 2025.</w:t>
            </w:r>
          </w:p>
        </w:tc>
        <w:tc>
          <w:tcPr>
            <w:tcW w:type="dxa" w:w="2592"/>
          </w:tcPr>
          <w:p>
            <w:pPr>
              <w:spacing w:after="0"/>
            </w:pPr>
            <w:r/>
            <w:r>
              <w:rPr>
                <w:b w:val="0"/>
                <w:sz w:val="16"/>
              </w:rPr>
              <w:t>£240,000 sponsorship revenue; £72,000 direct production cost; projected baseline contribution £168,000.</w:t>
            </w:r>
          </w:p>
        </w:tc>
        <w:tc>
          <w:tcPr>
            <w:tcW w:type="dxa" w:w="2592"/>
          </w:tcPr>
          <w:p>
            <w:pPr>
              <w:spacing w:after="0"/>
            </w:pPr>
            <w:r/>
            <w:r>
              <w:rPr>
                <w:b w:val="0"/>
                <w:sz w:val="16"/>
              </w:rPr>
              <w:t>Offer in sequence; pause and escalate any request outside the boundaries below.</w:t>
            </w:r>
          </w:p>
        </w:tc>
      </w:tr>
    </w:tbl>
    <w:p/>
    <w:p>
      <w:pPr>
        <w:pStyle w:val="Heading1"/>
      </w:pPr>
      <w:r>
        <w:t>Room position</w:t>
      </w:r>
    </w:p>
    <w:p>
      <w:pPr/>
      <w:r>
        <w:rPr>
          <w:b/>
        </w:rPr>
        <w:t xml:space="preserve">Opening line: </w:t>
      </w:r>
      <w:r>
        <w:t>“We can discuss a clearly labelled sponsored supplement and a graduated set of practical access and response rights. Editorial decisions remain with Vellumstone.”</w:t>
      </w:r>
    </w:p>
    <w:p>
      <w:pPr/>
      <w:r>
        <w:rPr>
          <w:b/>
        </w:rPr>
        <w:t xml:space="preserve">Relationship context: </w:t>
      </w:r>
      <w:r>
        <w:t>Valeria Falconer told Lars Hutchins informally that we would make Tanneryside “comfortable with” competitor copy. No written commitment was made. Acknowledge the intent to engage, but state that it did not create copy approval or a competitor veto and cannot displace our standards.</w:t>
      </w:r>
    </w:p>
    <w:p>
      <w:pPr>
        <w:pStyle w:val="Heading1"/>
      </w:pPr>
      <w:r>
        <w:t>Concession ladder (offer only in this order)</w:t>
      </w:r>
    </w:p>
    <w:tbl>
      <w:tblPr>
        <w:tblStyle w:val="TableGrid"/>
        <w:tblW w:type="auto" w:w="0"/>
        <w:jc w:val="center"/>
        <w:tblLook w:firstColumn="1" w:firstRow="1" w:lastColumn="0" w:lastRow="0" w:noHBand="0" w:noVBand="1" w:val="04A0"/>
      </w:tblPr>
      <w:tblGrid>
        <w:gridCol w:w="5184"/>
        <w:gridCol w:w="5184"/>
      </w:tblGrid>
      <w:tr>
        <w:tc>
          <w:tcPr>
            <w:tcW w:type="dxa" w:w="5184"/>
            <w:shd w:fill="1F5378"/>
          </w:tcPr>
          <w:p>
            <w:pPr>
              <w:spacing w:after="0"/>
            </w:pPr>
            <w:r/>
            <w:r>
              <w:rPr>
                <w:b/>
                <w:color w:val="FFFFFF"/>
                <w:sz w:val="16"/>
              </w:rPr>
              <w:t>Stage</w:t>
            </w:r>
          </w:p>
        </w:tc>
        <w:tc>
          <w:tcPr>
            <w:tcW w:type="dxa" w:w="5184"/>
            <w:shd w:fill="1F5378"/>
          </w:tcPr>
          <w:p>
            <w:pPr>
              <w:spacing w:after="0"/>
            </w:pPr>
            <w:r/>
            <w:r>
              <w:rPr>
                <w:b/>
                <w:color w:val="FFFFFF"/>
                <w:sz w:val="16"/>
              </w:rPr>
              <w:t>Permitted offer and guardrails</w:t>
            </w:r>
          </w:p>
        </w:tc>
      </w:tr>
      <w:tr>
        <w:tc>
          <w:tcPr>
            <w:tcW w:type="dxa" w:w="5184"/>
          </w:tcPr>
          <w:p>
            <w:pPr>
              <w:spacing w:after="0"/>
            </w:pPr>
            <w:r/>
            <w:r>
              <w:rPr>
                <w:b/>
                <w:color w:val="1F3750"/>
                <w:sz w:val="16"/>
              </w:rPr>
              <w:t>1  Bespoke data cut</w:t>
            </w:r>
          </w:p>
        </w:tc>
        <w:tc>
          <w:tcPr>
            <w:tcW w:type="dxa" w:w="5184"/>
          </w:tcPr>
          <w:p>
            <w:pPr>
              <w:spacing w:after="0"/>
            </w:pPr>
            <w:r/>
            <w:r>
              <w:rPr>
                <w:b w:val="0"/>
                <w:sz w:val="16"/>
              </w:rPr>
              <w:t>Offer first. A bounded subject, population and period agreed in the brief; aggregated/non-identifying output only. Methodology and limitations stay visible, and data is distinguished from Tanneryside interpretation. Incremental cost: £6,000. Projected contribution: £162,000.</w:t>
            </w:r>
          </w:p>
        </w:tc>
      </w:tr>
      <w:tr>
        <w:tc>
          <w:tcPr>
            <w:tcW w:type="dxa" w:w="5184"/>
          </w:tcPr>
          <w:p>
            <w:pPr>
              <w:spacing w:after="0"/>
            </w:pPr>
            <w:r/>
            <w:r>
              <w:rPr>
                <w:b/>
                <w:color w:val="1F3750"/>
                <w:sz w:val="16"/>
              </w:rPr>
              <w:t>2  Logo placement</w:t>
            </w:r>
          </w:p>
        </w:tc>
        <w:tc>
          <w:tcPr>
            <w:tcW w:type="dxa" w:w="5184"/>
          </w:tcPr>
          <w:p>
            <w:pPr>
              <w:spacing w:after="0"/>
            </w:pPr>
            <w:r/>
            <w:r>
              <w:rPr>
                <w:b w:val="0"/>
                <w:sz w:val="16"/>
              </w:rPr>
              <w:t>Designated sponsorship furniture or promotional positions only, with a prominent “Sponsored supplement”/“Advertisement feature” disclosure. The logo must not imply authorship or endorsement of independent copy. No separately measurable monetary effect supplied.</w:t>
            </w:r>
          </w:p>
        </w:tc>
      </w:tr>
      <w:tr>
        <w:tc>
          <w:tcPr>
            <w:tcW w:type="dxa" w:w="5184"/>
          </w:tcPr>
          <w:p>
            <w:pPr>
              <w:spacing w:after="0"/>
            </w:pPr>
            <w:r/>
            <w:r>
              <w:rPr>
                <w:b/>
                <w:color w:val="1F3750"/>
                <w:sz w:val="16"/>
              </w:rPr>
              <w:t>3  Advance sight (visibility, not approval)</w:t>
            </w:r>
          </w:p>
        </w:tc>
        <w:tc>
          <w:tcPr>
            <w:tcW w:type="dxa" w:w="5184"/>
          </w:tcPr>
          <w:p>
            <w:pPr>
              <w:spacing w:after="0"/>
            </w:pPr>
            <w:r/>
            <w:r>
              <w:rPr>
                <w:b w:val="0"/>
                <w:sz w:val="16"/>
              </w:rPr>
              <w:t>Define the term before using it: pre-publication visibility for named, authorised Tanneryside recipients during a two-business-day review window. It confers no approval, veto, withdrawal or publication-decision right. Comments are limited to possible factual errors; Vellumstone verifies independently and decides any correction. PDF marked “Advance sight – version [ID] – confidential/embargoed”; no redistribution or public use. Later editorial changes do not trigger a fresh approval round. One Vellumstone editorial contact receives comments; no direct routing to writers, designers or production.</w:t>
            </w:r>
          </w:p>
        </w:tc>
      </w:tr>
      <w:tr>
        <w:tc>
          <w:tcPr>
            <w:tcW w:type="dxa" w:w="5184"/>
          </w:tcPr>
          <w:p>
            <w:pPr>
              <w:spacing w:after="0"/>
            </w:pPr>
            <w:r/>
            <w:r>
              <w:rPr>
                <w:b/>
                <w:color w:val="1F3750"/>
                <w:sz w:val="16"/>
              </w:rPr>
              <w:t>4  Same-issue right of reply</w:t>
            </w:r>
          </w:p>
        </w:tc>
        <w:tc>
          <w:tcPr>
            <w:tcW w:type="dxa" w:w="5184"/>
          </w:tcPr>
          <w:p>
            <w:pPr>
              <w:spacing w:after="0"/>
            </w:pPr>
            <w:r/>
            <w:r>
              <w:rPr>
                <w:b w:val="0"/>
                <w:sz w:val="16"/>
              </w:rPr>
              <w:t>Fallback only after the first three stages. Triggered by a material statement about Tanneryside or its products—not by a competitor mention or favourable treatment. Maximum half a page in the same issue; copy due by the production deadline. Vellumstone may edit, fact-check, label or decline material that is inaccurate, unlawful, over-promotional or otherwise unfit. Displaced advertising effect: £10,000. Projected contribution: £158,000; with data cut: £152,000.</w:t>
            </w:r>
          </w:p>
        </w:tc>
      </w:tr>
    </w:tbl>
    <w:p>
      <w:pPr>
        <w:pStyle w:val="Heading1"/>
      </w:pPr>
      <w:r>
        <w:t>Non-negotiables and operating controls</w:t>
      </w:r>
    </w:p>
    <w:p>
      <w:pPr>
        <w:pStyle w:val="ListBullet"/>
        <w:spacing w:after="40"/>
      </w:pPr>
      <w:r>
        <w:t>Copy approval is outside our negotiable authority. Tanneryside may not approve, require changes to, or delay copy.</w:t>
      </w:r>
    </w:p>
    <w:p>
      <w:pPr>
        <w:pStyle w:val="ListBullet"/>
        <w:spacing w:after="40"/>
      </w:pPr>
      <w:r>
        <w:t>A right to pull, suppress or veto coverage because it names competing equipment is outside our negotiable authority. Competitor coverage is governed by relevance, evidence, accuracy and fair opportunity to address material criticism—not sponsor preference.</w:t>
      </w:r>
    </w:p>
    <w:p>
      <w:pPr>
        <w:pStyle w:val="ListBullet"/>
        <w:spacing w:after="40"/>
      </w:pPr>
      <w:r>
        <w:t>Final control stays with Vellumstone’s editorial team: commissioning, wording, headlines, images, prominence and publication. Product-performance claims need ordinary substantiation and editorial review; sponsorship does not allow insertion, removal or alteration on demand.</w:t>
      </w:r>
    </w:p>
    <w:p>
      <w:pPr>
        <w:pStyle w:val="ListBullet"/>
        <w:spacing w:after="40"/>
      </w:pPr>
      <w:r>
        <w:t>Keep sponsored material visually and editorially distinct from independent coverage, with a prominent, readily understood disclosure on the supplement and any sponsorship furniture.</w:t>
      </w:r>
    </w:p>
    <w:p>
      <w:pPr>
        <w:pStyle w:val="ListBullet"/>
        <w:spacing w:after="40"/>
      </w:pPr>
      <w:r>
        <w:t>Commercial negotiation sits with the publisher/commercial channel; editorial decisions sit with the editorial lead. Escalate any request beyond this note to Milena Bonneau before agreeing it. Meeting concessions are provisional until recorded in writing.</w:t>
      </w:r>
    </w:p>
    <w:p>
      <w:pPr>
        <w:pStyle w:val="ListBullet"/>
        <w:spacing w:after="40"/>
      </w:pPr>
      <w:r>
        <w:t>Any agreed concession is for this supplement/issue only, creates no automatic renewal or other-title precedent, and does not replace Vellumstone’s ordinary post-publication corrections or complaints process.</w:t>
      </w:r>
    </w:p>
    <w:p>
      <w:pPr>
        <w:pStyle w:val="Heading1"/>
      </w:pPr>
      <w:r>
        <w:t>If pressed for approval or competitor removal</w:t>
      </w:r>
    </w:p>
    <w:p>
      <w:r>
        <w:rPr>
          <w:b/>
        </w:rPr>
        <w:t xml:space="preserve">Use: </w:t>
      </w:r>
      <w:r>
        <w:t>“That request exceeds the available position. We can offer bounded factual review and, where the trigger is met, a half-page same-issue reply under editorial control. Approval or competitor-based removal cannot be agreed as framed; I will escalate any revised proposal to Milena before commitment.”</w:t>
      </w:r>
    </w:p>
    <w:p>
      <w:r>
        <w:t>Financial note: contributions above are projections under the stated assumptions (sponsorship revenue less direct production cost and only the supplied incremental effects); they are not guaranteed profit, cash or a complete publishing margin.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75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