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Liberation Sans" w:hAnsi="Liberation Sans" w:eastAsia="Liberation Sans"/>
          <w:b/>
          <w:i w:val="0"/>
          <w:color w:val="1D6F73"/>
          <w:sz w:val="15"/>
        </w:rPr>
        <w:t>DECISION MEMORANDUM  |  AS OF 30 JUNE 2025</w:t>
      </w:r>
    </w:p>
    <w:p>
      <w:pPr>
        <w:pStyle w:val="Title"/>
        <w:spacing w:after="20"/>
      </w:pPr>
      <w:r>
        <w:rPr>
          <w:rFonts w:ascii="Liberation Sans" w:hAnsi="Liberation Sans" w:eastAsia="Liberation Sans"/>
          <w:b/>
          <w:i w:val="0"/>
          <w:color w:val="1F3349"/>
          <w:sz w:val="44"/>
        </w:rPr>
        <w:t>Operating Decision Memorandum</w:t>
      </w:r>
    </w:p>
    <w:p>
      <w:pPr>
        <w:spacing w:after="180"/>
      </w:pPr>
      <w:r>
        <w:rPr>
          <w:rFonts w:ascii="Liberation Sans" w:hAnsi="Liberation Sans" w:eastAsia="Liberation Sans"/>
          <w:b/>
          <w:i w:val="0"/>
          <w:color w:val="1D6F73"/>
          <w:sz w:val="22"/>
        </w:rPr>
        <w:t>Kestrel Terminals monitoring transition</w:t>
      </w:r>
    </w:p>
    <w:tbl>
      <w:tblPr>
        <w:tblW w:type="auto" w:w="0"/>
        <w:jc w:val="left"/>
        <w:tblLayout w:type="fixed"/>
        <w:tblLook w:firstColumn="1" w:firstRow="1" w:lastColumn="0" w:lastRow="0" w:noHBand="0" w:noVBand="1" w:val="04A0"/>
      </w:tblPr>
      <w:tblGrid>
        <w:gridCol w:w="5155"/>
        <w:gridCol w:w="5155"/>
      </w:tblGrid>
      <w:tr>
        <w:trPr>
          <w:cantSplit/>
        </w:trPr>
        <w:tc>
          <w:tcPr>
            <w:tcW w:type="dxa" w:w="1728"/>
            <w:tcMar>
              <w:top w:w="54" w:type="dxa"/>
              <w:start w:w="80" w:type="dxa"/>
              <w:bottom w:w="54" w:type="dxa"/>
              <w:end w:w="70" w:type="dxa"/>
            </w:tcMar>
            <w:shd w:fill="EAF1F5"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D6F73"/>
                <w:sz w:val="14"/>
              </w:rPr>
              <w:t>TO</w:t>
            </w:r>
          </w:p>
        </w:tc>
        <w:tc>
          <w:tcPr>
            <w:tcW w:type="dxa" w:w="8568"/>
            <w:tcMar>
              <w:top w:w="54" w:type="dxa"/>
              <w:start w:w="90" w:type="dxa"/>
              <w:bottom w:w="54" w:type="dxa"/>
              <w:end w:w="80" w:type="dxa"/>
            </w:tcMar>
            <w:shd w:fill="FFFFFF"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6"/>
              </w:rPr>
              <w:t>Cecilia Gauthier, Legal  |  Katarzyna Voskresensky, Contracting</w:t>
            </w:r>
          </w:p>
        </w:tc>
      </w:tr>
      <w:tr>
        <w:trPr>
          <w:cantSplit/>
        </w:trPr>
        <w:tc>
          <w:tcPr>
            <w:tcW w:type="dxa" w:w="1728"/>
            <w:tcMar>
              <w:top w:w="54" w:type="dxa"/>
              <w:start w:w="80" w:type="dxa"/>
              <w:bottom w:w="54" w:type="dxa"/>
              <w:end w:w="70" w:type="dxa"/>
            </w:tcMar>
            <w:shd w:fill="EAF1F5"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D6F73"/>
                <w:sz w:val="14"/>
              </w:rPr>
              <w:t>FROM</w:t>
            </w:r>
          </w:p>
        </w:tc>
        <w:tc>
          <w:tcPr>
            <w:tcW w:type="dxa" w:w="8568"/>
            <w:tcMar>
              <w:top w:w="54" w:type="dxa"/>
              <w:start w:w="90" w:type="dxa"/>
              <w:bottom w:w="54" w:type="dxa"/>
              <w:end w:w="80" w:type="dxa"/>
            </w:tcMar>
            <w:shd w:fill="FFFFFF"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6"/>
              </w:rPr>
              <w:t>Nadia Marchetti, First-line Supervisor, Kestrel Terminals</w:t>
            </w:r>
          </w:p>
        </w:tc>
      </w:tr>
      <w:tr>
        <w:trPr>
          <w:cantSplit/>
        </w:trPr>
        <w:tc>
          <w:tcPr>
            <w:tcW w:type="dxa" w:w="1728"/>
            <w:tcMar>
              <w:top w:w="54" w:type="dxa"/>
              <w:start w:w="80" w:type="dxa"/>
              <w:bottom w:w="54" w:type="dxa"/>
              <w:end w:w="70" w:type="dxa"/>
            </w:tcMar>
            <w:shd w:fill="EAF1F5"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D6F73"/>
                <w:sz w:val="14"/>
              </w:rPr>
              <w:t>DATE</w:t>
            </w:r>
          </w:p>
        </w:tc>
        <w:tc>
          <w:tcPr>
            <w:tcW w:type="dxa" w:w="8568"/>
            <w:tcMar>
              <w:top w:w="54" w:type="dxa"/>
              <w:start w:w="90" w:type="dxa"/>
              <w:bottom w:w="54" w:type="dxa"/>
              <w:end w:w="80" w:type="dxa"/>
            </w:tcMar>
            <w:shd w:fill="FFFFFF"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6"/>
              </w:rPr>
              <w:t>30 June 2025</w:t>
            </w:r>
          </w:p>
        </w:tc>
      </w:tr>
      <w:tr>
        <w:trPr>
          <w:cantSplit/>
        </w:trPr>
        <w:tc>
          <w:tcPr>
            <w:tcW w:type="dxa" w:w="1728"/>
            <w:tcMar>
              <w:top w:w="54" w:type="dxa"/>
              <w:start w:w="80" w:type="dxa"/>
              <w:bottom w:w="54" w:type="dxa"/>
              <w:end w:w="70" w:type="dxa"/>
            </w:tcMar>
            <w:shd w:fill="EAF1F5"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D6F73"/>
                <w:sz w:val="14"/>
              </w:rPr>
              <w:t>SUBJECT</w:t>
            </w:r>
          </w:p>
        </w:tc>
        <w:tc>
          <w:tcPr>
            <w:tcW w:type="dxa" w:w="8568"/>
            <w:tcMar>
              <w:top w:w="54" w:type="dxa"/>
              <w:start w:w="90" w:type="dxa"/>
              <w:bottom w:w="54" w:type="dxa"/>
              <w:end w:w="80" w:type="dxa"/>
            </w:tcMar>
            <w:shd w:fill="FFFFFF"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6"/>
              </w:rPr>
              <w:t>Approval of a bounded operating position for the fixed-guard to Bramblewood Advisory remote-monitoring transition</w:t>
            </w:r>
          </w:p>
        </w:tc>
      </w:tr>
      <w:tr>
        <w:trPr>
          <w:cantSplit/>
        </w:trPr>
        <w:tc>
          <w:tcPr>
            <w:tcW w:type="dxa" w:w="1728"/>
            <w:tcMar>
              <w:top w:w="54" w:type="dxa"/>
              <w:start w:w="80" w:type="dxa"/>
              <w:bottom w:w="54" w:type="dxa"/>
              <w:end w:w="70" w:type="dxa"/>
            </w:tcMar>
            <w:shd w:fill="EAF1F5"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D6F73"/>
                <w:sz w:val="14"/>
              </w:rPr>
              <w:t>DECISION STATUS</w:t>
            </w:r>
          </w:p>
        </w:tc>
        <w:tc>
          <w:tcPr>
            <w:tcW w:type="dxa" w:w="8568"/>
            <w:tcMar>
              <w:top w:w="54" w:type="dxa"/>
              <w:start w:w="90" w:type="dxa"/>
              <w:bottom w:w="54" w:type="dxa"/>
              <w:end w:w="80" w:type="dxa"/>
            </w:tcMar>
            <w:shd w:fill="FFFFFF" w:val="clear"/>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6"/>
              </w:rPr>
              <w:t>Recommendation for approval this week; not an authorization to deploy or amend a contract</w:t>
            </w:r>
          </w:p>
        </w:tc>
      </w:tr>
    </w:tbl>
    <w:p>
      <w:pPr>
        <w:spacing w:after="20"/>
      </w:pPr>
    </w:p>
    <w:tbl>
      <w:tblPr>
        <w:tblW w:type="auto" w:w="0"/>
        <w:jc w:val="center"/>
        <w:tblLayout w:type="fixed"/>
        <w:tblLook w:firstColumn="1" w:firstRow="1" w:lastColumn="0" w:lastRow="0" w:noHBand="0" w:noVBand="1" w:val="04A0"/>
      </w:tblPr>
      <w:tblGrid>
        <w:gridCol w:w="10310"/>
      </w:tblGrid>
      <w:tr>
        <w:tc>
          <w:tcPr>
            <w:tcW w:type="dxa" w:w="10296"/>
            <w:tcMar>
              <w:top w:w="125" w:type="dxa"/>
              <w:start w:w="155" w:type="dxa"/>
              <w:bottom w:w="125" w:type="dxa"/>
              <w:end w:w="155" w:type="dxa"/>
            </w:tcMar>
            <w:shd w:fill="E7F2F1" w:val="clear"/>
            <w:tcBorders>
              <w:top w:val="single" w:sz="4" w:color="CAD3D9"/>
              <w:left w:val="single" w:sz="22" w:color="1D6F73"/>
              <w:bottom w:val="single" w:sz="4" w:color="CAD3D9"/>
              <w:right w:val="single" w:sz="4" w:color="CAD3D9"/>
            </w:tcBorders>
          </w:tcPr>
          <w:p>
            <w:pPr>
              <w:spacing w:after="40"/>
            </w:pPr>
            <w:r>
              <w:rPr>
                <w:rFonts w:ascii="Liberation Sans" w:hAnsi="Liberation Sans" w:eastAsia="Liberation Sans"/>
                <w:b/>
                <w:i w:val="0"/>
                <w:color w:val="1D6F73"/>
                <w:sz w:val="14"/>
              </w:rPr>
              <w:t>DECISION REQUESTED</w:t>
            </w:r>
          </w:p>
          <w:p>
            <w:pPr>
              <w:keepNext/>
              <w:spacing w:after="60"/>
            </w:pPr>
            <w:r>
              <w:rPr>
                <w:rFonts w:ascii="Liberation Sans" w:hAnsi="Liberation Sans" w:eastAsia="Liberation Sans"/>
                <w:b/>
                <w:i w:val="0"/>
                <w:color w:val="1F3349"/>
                <w:sz w:val="22"/>
              </w:rPr>
              <w:t>Approve a staged hybrid transition with a residual physical guard floor.</w:t>
            </w:r>
          </w:p>
          <w:p>
            <w:pPr>
              <w:spacing w:after="0" w:line="247" w:lineRule="auto"/>
            </w:pPr>
            <w:r>
              <w:rPr>
                <w:rFonts w:ascii="Liberation Sans" w:hAnsi="Liberation Sans" w:eastAsia="Liberation Sans"/>
                <w:b w:val="0"/>
                <w:i w:val="0"/>
                <w:color w:val="1E2933"/>
                <w:sz w:val="18"/>
              </w:rPr>
              <w:t>Use Bramblewood Advisory remote monitoring as the primary routine detection and assessment channel only when its availability, alert verification, independent communications, and human escalation are demonstrated. Keep the fixed guard coverage already retained during the transition; preserve physical coverage at the highest-consequence access or operating areas whenever remote coverage or escalation is unavailable. Do not remove further posts because logged incidents appear lower. This is a recommendation for Legal and contracting approval, not Nadia Marchetti's authorization to deploy, alter coverage, amend a contract, or make a legal determination.</w:t>
            </w:r>
          </w:p>
        </w:tc>
      </w:tr>
    </w:tbl>
    <w:p>
      <w:pPr>
        <w:spacing w:after="20"/>
      </w:pPr>
    </w:p>
    <w:p>
      <w:pPr>
        <w:pStyle w:val="Heading1"/>
        <w:keepNext/>
        <w:spacing w:before="80" w:after="80"/>
      </w:pPr>
      <w:r>
        <w:rPr>
          <w:rFonts w:ascii="Liberation Sans" w:hAnsi="Liberation Sans" w:eastAsia="Liberation Sans"/>
          <w:b/>
          <w:i w:val="0"/>
          <w:color w:val="1F3349"/>
          <w:sz w:val="28"/>
        </w:rPr>
        <w:t>Executive judgment</w:t>
      </w:r>
    </w:p>
    <w:p>
      <w:pPr>
        <w:spacing w:after="90" w:line="250" w:lineRule="auto"/>
        <w:ind w:firstLine="0"/>
      </w:pPr>
      <w:r>
        <w:rPr>
          <w:rFonts w:ascii="Liberation Sans" w:hAnsi="Liberation Sans" w:eastAsia="Liberation Sans"/>
          <w:b w:val="0"/>
          <w:i w:val="0"/>
          <w:color w:val="1E2933"/>
          <w:sz w:val="18"/>
        </w:rPr>
        <w:t>Kestrel Terminals is midway through replacing fixed guard posts with Bramblewood Advisory's remote-monitoring model. The request describes an apparent material change between January-March and April-June, but no incident records or source pack were supplied. I therefore do not state a count, rate, direction, or causal result for either period. The comparison can inform a control decision only after separating underlying security events from changes in what was observable, classified, escalated, and recorded.</w:t>
      </w:r>
    </w:p>
    <w:p>
      <w:pPr>
        <w:spacing w:after="90" w:line="250" w:lineRule="auto"/>
        <w:ind w:firstLine="0"/>
      </w:pPr>
      <w:r>
        <w:rPr>
          <w:rFonts w:ascii="Liberation Sans" w:hAnsi="Liberation Sans" w:eastAsia="Liberation Sans"/>
          <w:b w:val="0"/>
          <w:i w:val="0"/>
          <w:color w:val="1E2933"/>
          <w:sz w:val="18"/>
        </w:rPr>
        <w:t>The rare armed intrusion that occurred while the monitoring system was unavailable is the decisive resilience fact. It does not prove that remote monitoring is generally unsafe; it does establish that loss of the monitoring channel can coincide with a severe event and must change the operating posture. A low or quiet log cannot close that exposure, especially when the reporting regime changed and the absence of an alert is not proof that no event occurred.</w:t>
      </w:r>
    </w:p>
    <w:tbl>
      <w:tblPr>
        <w:tblW w:type="auto" w:w="0"/>
        <w:jc w:val="center"/>
        <w:tblLayout w:type="fixed"/>
        <w:tblLook w:firstColumn="1" w:firstRow="1" w:lastColumn="0" w:lastRow="0" w:noHBand="0" w:noVBand="1" w:val="04A0"/>
      </w:tblPr>
      <w:tblGrid>
        <w:gridCol w:w="5155"/>
        <w:gridCol w:w="5155"/>
      </w:tblGrid>
      <w:tr>
        <w:tc>
          <w:tcPr>
            <w:tcW w:type="dxa" w:w="5083"/>
            <w:tcMar>
              <w:top w:w="105" w:type="dxa"/>
              <w:start w:w="125" w:type="dxa"/>
              <w:bottom w:w="105" w:type="dxa"/>
              <w:end w:w="125" w:type="dxa"/>
            </w:tcMar>
            <w:shd w:fill="EAF1F5" w:val="clear"/>
            <w:tcBorders>
              <w:top w:val="single" w:sz="4" w:color="CAD3D9"/>
              <w:left w:val="single" w:sz="4" w:color="CAD3D9"/>
              <w:bottom w:val="single" w:sz="4" w:color="CAD3D9"/>
              <w:right w:val="single" w:sz="4" w:color="CAD3D9"/>
            </w:tcBorders>
            <w:vAlign w:val="top"/>
          </w:tcPr>
          <w:p>
            <w:pPr>
              <w:spacing w:after="40"/>
            </w:pPr>
            <w:r>
              <w:rPr>
                <w:rFonts w:ascii="Liberation Sans" w:hAnsi="Liberation Sans" w:eastAsia="Liberation Sans"/>
                <w:b/>
                <w:i w:val="0"/>
                <w:color w:val="1D6F73"/>
                <w:sz w:val="14"/>
              </w:rPr>
              <w:t>WHY THIS CALL IS NARROW</w:t>
            </w:r>
          </w:p>
          <w:p>
            <w:pPr>
              <w:spacing w:after="0" w:line="245" w:lineRule="auto"/>
            </w:pPr>
            <w:r>
              <w:rPr>
                <w:rFonts w:ascii="Liberation Sans" w:hAnsi="Liberation Sans" w:eastAsia="Liberation Sans"/>
                <w:b w:val="0"/>
                <w:i w:val="0"/>
                <w:color w:val="1E2933"/>
                <w:sz w:val="17"/>
              </w:rPr>
              <w:t>The available facts support a control posture and approval conditions, not a staffing count, system performance claim, cost result, statutory threshold, or vendor commitment.</w:t>
            </w:r>
          </w:p>
        </w:tc>
        <w:tc>
          <w:tcPr>
            <w:tcW w:type="dxa" w:w="5083"/>
            <w:tcMar>
              <w:top w:w="105" w:type="dxa"/>
              <w:start w:w="125" w:type="dxa"/>
              <w:bottom w:w="105" w:type="dxa"/>
              <w:end w:w="125" w:type="dxa"/>
            </w:tcMar>
            <w:shd w:fill="F1F4F6" w:val="clear"/>
            <w:tcBorders>
              <w:top w:val="single" w:sz="4" w:color="CAD3D9"/>
              <w:left w:val="single" w:sz="4" w:color="CAD3D9"/>
              <w:bottom w:val="single" w:sz="4" w:color="CAD3D9"/>
              <w:right w:val="single" w:sz="4" w:color="CAD3D9"/>
            </w:tcBorders>
            <w:vAlign w:val="top"/>
          </w:tcPr>
          <w:p>
            <w:pPr>
              <w:spacing w:after="40"/>
            </w:pPr>
            <w:r>
              <w:rPr>
                <w:rFonts w:ascii="Liberation Sans" w:hAnsi="Liberation Sans" w:eastAsia="Liberation Sans"/>
                <w:b/>
                <w:i w:val="0"/>
                <w:color w:val="2B5876"/>
                <w:sz w:val="14"/>
              </w:rPr>
              <w:t>WHAT THE APPROVAL WOULD MEAN</w:t>
            </w:r>
          </w:p>
          <w:p>
            <w:pPr>
              <w:spacing w:after="0" w:line="245" w:lineRule="auto"/>
            </w:pPr>
            <w:r>
              <w:rPr>
                <w:rFonts w:ascii="Liberation Sans" w:hAnsi="Liberation Sans" w:eastAsia="Liberation Sans"/>
                <w:b w:val="0"/>
                <w:i w:val="0"/>
                <w:color w:val="1E2933"/>
                <w:sz w:val="17"/>
              </w:rPr>
              <w:t>Legal and contracting may approve the operating position for translation into an executable plan by Ivo Cordova and Kaia Yamamoto; implementation authority remains with the designated Kestrel approval process.</w:t>
            </w:r>
          </w:p>
        </w:tc>
      </w:tr>
    </w:tbl>
    <w:p>
      <w:pPr>
        <w:spacing w:after="20"/>
      </w:pPr>
    </w:p>
    <w:p>
      <w:pPr>
        <w:keepNext/>
        <w:spacing w:after="40"/>
      </w:pPr>
      <w:r>
        <w:rPr>
          <w:rFonts w:ascii="Liberation Sans" w:hAnsi="Liberation Sans" w:eastAsia="Liberation Sans"/>
          <w:b/>
          <w:i w:val="0"/>
          <w:color w:val="9A6515"/>
          <w:sz w:val="15"/>
        </w:rPr>
        <w:t>DECISION LENS</w:t>
      </w:r>
    </w:p>
    <w:p>
      <w:pPr>
        <w:spacing w:after="0" w:line="250" w:lineRule="auto"/>
        <w:ind w:firstLine="0"/>
      </w:pPr>
      <w:r>
        <w:rPr>
          <w:rFonts w:ascii="Liberation Sans" w:hAnsi="Liberation Sans" w:eastAsia="Liberation Sans"/>
          <w:b w:val="0"/>
          <w:i w:val="0"/>
          <w:color w:val="1E2933"/>
          <w:sz w:val="18"/>
        </w:rPr>
        <w:t>The recommended tradeoff accepts slower transition efficiency and retained guard burden in exchange for avoiding an unverified single point of failure. The end state remains conditional: remote monitoring may become the routine primary channel only after the dependencies in this memo are demonstrated and owned.</w:t>
      </w:r>
    </w:p>
    <w:p>
      <w:r>
        <w:br w:type="page"/>
      </w:r>
    </w:p>
    <w:p>
      <w:pPr>
        <w:keepNext/>
        <w:spacing w:after="40"/>
      </w:pPr>
      <w:r>
        <w:rPr>
          <w:rFonts w:ascii="Liberation Sans" w:hAnsi="Liberation Sans" w:eastAsia="Liberation Sans"/>
          <w:b/>
          <w:i w:val="0"/>
          <w:color w:val="1D6F73"/>
          <w:sz w:val="15"/>
        </w:rPr>
        <w:t>01  |  EVIDENCE DISCIPLINE</w:t>
      </w:r>
    </w:p>
    <w:p>
      <w:pPr>
        <w:pStyle w:val="Heading1"/>
        <w:keepNext/>
        <w:spacing w:before="20" w:after="80"/>
      </w:pPr>
      <w:r>
        <w:rPr>
          <w:rFonts w:ascii="Liberation Sans" w:hAnsi="Liberation Sans" w:eastAsia="Liberation Sans"/>
          <w:b/>
          <w:i w:val="0"/>
          <w:color w:val="1F3349"/>
          <w:sz w:val="28"/>
        </w:rPr>
        <w:t>What the two periods can and cannot show</w:t>
      </w:r>
    </w:p>
    <w:p>
      <w:pPr>
        <w:spacing w:after="90" w:line="250" w:lineRule="auto"/>
        <w:ind w:firstLine="0"/>
      </w:pPr>
      <w:r>
        <w:rPr>
          <w:rFonts w:ascii="Liberation Sans" w:hAnsi="Liberation Sans" w:eastAsia="Liberation Sans"/>
          <w:b w:val="0"/>
          <w:i w:val="0"/>
          <w:color w:val="1E2933"/>
          <w:sz w:val="18"/>
        </w:rPr>
        <w:t>The common comparison basis is the same for both periods: (a) underlying security events and exposure, (b) opportunity and coverage available to observe them, (c) detection and alert verification, (d) classification and duplicate handling, (e) escalation and site response, and (f) completeness of the record. Comparing an incident outcome in one period with an unrelated monitoring measure in the other would not support a decision.</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ALIGNED LENS</w:t>
            </w:r>
          </w:p>
        </w:tc>
        <w:tc>
          <w:tcPr>
            <w:tcW w:type="dxa" w:w="4248"/>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JANUARY-MARCH</w:t>
            </w:r>
          </w:p>
        </w:tc>
        <w:tc>
          <w:tcPr>
            <w:tcW w:type="dxa" w:w="4248"/>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APRIL-JUNE</w:t>
            </w:r>
          </w:p>
        </w:tc>
      </w:tr>
      <w:tr>
        <w:trPr>
          <w:cantSplit/>
        </w:trPr>
        <w:tc>
          <w:tcPr>
            <w:tcW w:type="dxa" w:w="1800"/>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5"/>
              </w:rPr>
              <w:t>Period context</w:t>
            </w:r>
          </w:p>
        </w:tc>
        <w:tc>
          <w:tcPr>
            <w:tcW w:type="dxa" w:w="424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January-March is the earlier comparison period. The exact mix of fixed posts and remote coverage by area, shift, and day is not supplied.</w:t>
            </w:r>
          </w:p>
        </w:tc>
        <w:tc>
          <w:tcPr>
            <w:tcW w:type="dxa" w:w="424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April-June is the later comparison period while the move toward Bramblewood remote monitoring was still underway. The exact coverage mix and transition milestones are not supplied.</w:t>
            </w:r>
          </w:p>
        </w:tc>
      </w:tr>
      <w:tr>
        <w:trPr>
          <w:cantSplit/>
        </w:trPr>
        <w:tc>
          <w:tcPr>
            <w:tcW w:type="dxa" w:w="1800"/>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5"/>
              </w:rPr>
              <w:t>Apparent change</w:t>
            </w:r>
          </w:p>
        </w:tc>
        <w:tc>
          <w:tcPr>
            <w:tcW w:type="dxa" w:w="424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The request says the records appear materially different across the two periods; no direction, count, rate, or category breakdown is provided here.</w:t>
            </w:r>
          </w:p>
        </w:tc>
        <w:tc>
          <w:tcPr>
            <w:tcW w:type="dxa" w:w="424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A later-period difference could reflect a real change in events, a change in observation, or both. It cannot be assigned to the remote model from the brief alone.</w:t>
            </w:r>
          </w:p>
        </w:tc>
      </w:tr>
      <w:tr>
        <w:trPr>
          <w:cantSplit/>
        </w:trPr>
        <w:tc>
          <w:tcPr>
            <w:tcW w:type="dxa" w:w="1800"/>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5"/>
              </w:rPr>
              <w:t>Detection and logging</w:t>
            </w:r>
          </w:p>
        </w:tc>
        <w:tc>
          <w:tcPr>
            <w:tcW w:type="dxa" w:w="424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Fixed presence may expose local observations and immediate interactions that are not captured the same way by remote systems.</w:t>
            </w:r>
          </w:p>
        </w:tc>
        <w:tc>
          <w:tcPr>
            <w:tcW w:type="dxa" w:w="424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Remote monitoring may surface signals beyond a post, but availability, alert verification, escalation, and record completeness can change what gets noticed and logged.</w:t>
            </w:r>
          </w:p>
        </w:tc>
      </w:tr>
      <w:tr>
        <w:trPr>
          <w:cantSplit/>
        </w:trPr>
        <w:tc>
          <w:tcPr>
            <w:tcW w:type="dxa" w:w="1800"/>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5"/>
              </w:rPr>
              <w:t>Classification</w:t>
            </w:r>
          </w:p>
        </w:tc>
        <w:tc>
          <w:tcPr>
            <w:tcW w:type="dxa" w:w="424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The record may use an earlier threshold for incident, alarm, nuisance, duplicate, or unresolved event; the definitions are unknown.</w:t>
            </w:r>
          </w:p>
        </w:tc>
        <w:tc>
          <w:tcPr>
            <w:tcW w:type="dxa" w:w="424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A changed threshold, category, duplicate rule, or handoff practice can create an apparent trend without a matching change in underlying risk.</w:t>
            </w:r>
          </w:p>
        </w:tc>
      </w:tr>
      <w:tr>
        <w:trPr>
          <w:cantSplit/>
        </w:trPr>
        <w:tc>
          <w:tcPr>
            <w:tcW w:type="dxa" w:w="1800"/>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5"/>
              </w:rPr>
              <w:t>Exposure and response</w:t>
            </w:r>
          </w:p>
        </w:tc>
        <w:tc>
          <w:tcPr>
            <w:tcW w:type="dxa" w:w="424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Operating hours, monitored areas, access activity, weather or seasonal opportunity, and response readiness are not supplied.</w:t>
            </w:r>
          </w:p>
        </w:tc>
        <w:tc>
          <w:tcPr>
            <w:tcW w:type="dxa" w:w="424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Raw totals are not comparable unless opportunity to observe and the ability to respond were materially understood. No denominator is available.</w:t>
            </w:r>
          </w:p>
        </w:tc>
      </w:tr>
      <w:tr>
        <w:trPr>
          <w:cantSplit/>
        </w:trPr>
        <w:tc>
          <w:tcPr>
            <w:tcW w:type="dxa" w:w="1800"/>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5"/>
              </w:rPr>
              <w:t>Decision value</w:t>
            </w:r>
          </w:p>
        </w:tc>
        <w:tc>
          <w:tcPr>
            <w:tcW w:type="dxa" w:w="424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The periods provide a reason to examine the transition and its controls, not a numerical proof of improved safety.</w:t>
            </w:r>
          </w:p>
        </w:tc>
        <w:tc>
          <w:tcPr>
            <w:tcW w:type="dxa" w:w="424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5"/>
              </w:rPr>
              <w:t>The armed intrusion during an outage makes availability and degraded-mode readiness more decision-relevant than a quiet log alone.</w:t>
            </w:r>
          </w:p>
        </w:tc>
      </w:tr>
    </w:tbl>
    <w:p>
      <w:pPr>
        <w:spacing w:after="20"/>
      </w:pPr>
    </w:p>
    <w:p>
      <w:pPr>
        <w:pStyle w:val="Heading2"/>
        <w:keepNext/>
        <w:spacing w:before="40" w:after="80"/>
      </w:pPr>
      <w:r>
        <w:rPr>
          <w:rFonts w:ascii="Liberation Sans" w:hAnsi="Liberation Sans" w:eastAsia="Liberation Sans"/>
          <w:b/>
          <w:i w:val="0"/>
          <w:color w:val="1F3349"/>
          <w:sz w:val="21"/>
        </w:rPr>
        <w:t>Interpretation rules</w:t>
      </w:r>
    </w:p>
    <w:p>
      <w:pPr>
        <w:spacing w:after="50" w:line="245" w:lineRule="auto"/>
        <w:ind w:left="245" w:hanging="187"/>
      </w:pPr>
      <w:r>
        <w:rPr>
          <w:rFonts w:ascii="Liberation Sans" w:hAnsi="Liberation Sans" w:eastAsia="Liberation Sans"/>
          <w:b/>
          <w:i w:val="0"/>
          <w:color w:val="1D6F73"/>
          <w:sz w:val="18"/>
        </w:rPr>
        <w:t xml:space="preserve">• </w:t>
      </w:r>
      <w:r>
        <w:rPr>
          <w:rFonts w:ascii="Liberation Sans" w:hAnsi="Liberation Sans" w:eastAsia="Liberation Sans"/>
          <w:b w:val="0"/>
          <w:i w:val="0"/>
          <w:color w:val="1E2933"/>
          <w:sz w:val="18"/>
        </w:rPr>
        <w:t>Observed fact: the organization is midway through a transition, the request describes an apparent material period change, and a rare armed intrusion occurred during a monitoring outage. The incident records themselves are not supplied.</w:t>
      </w:r>
    </w:p>
    <w:p>
      <w:pPr>
        <w:spacing w:after="50" w:line="245" w:lineRule="auto"/>
        <w:ind w:left="245" w:hanging="187"/>
      </w:pPr>
      <w:r>
        <w:rPr>
          <w:rFonts w:ascii="Liberation Sans" w:hAnsi="Liberation Sans" w:eastAsia="Liberation Sans"/>
          <w:b/>
          <w:i w:val="0"/>
          <w:color w:val="1D6F73"/>
          <w:sz w:val="18"/>
        </w:rPr>
        <w:t xml:space="preserve">• </w:t>
      </w:r>
      <w:r>
        <w:rPr>
          <w:rFonts w:ascii="Liberation Sans" w:hAnsi="Liberation Sans" w:eastAsia="Liberation Sans"/>
          <w:b w:val="0"/>
          <w:i w:val="0"/>
          <w:color w:val="1E2933"/>
          <w:sz w:val="18"/>
        </w:rPr>
        <w:t>Professional inference: a change in logged events may be real performance, improved or reduced detection, changed exposure, changed classification, duplicate handling, or incomplete escalation. A busier record can likewise reflect better detection rather than deterioration.</w:t>
      </w:r>
    </w:p>
    <w:p>
      <w:pPr>
        <w:spacing w:after="50" w:line="245" w:lineRule="auto"/>
        <w:ind w:left="245" w:hanging="187"/>
      </w:pPr>
      <w:r>
        <w:rPr>
          <w:rFonts w:ascii="Liberation Sans" w:hAnsi="Liberation Sans" w:eastAsia="Liberation Sans"/>
          <w:b/>
          <w:i w:val="0"/>
          <w:color w:val="1D6F73"/>
          <w:sz w:val="18"/>
        </w:rPr>
        <w:t xml:space="preserve">• </w:t>
      </w:r>
      <w:r>
        <w:rPr>
          <w:rFonts w:ascii="Liberation Sans" w:hAnsi="Liberation Sans" w:eastAsia="Liberation Sans"/>
          <w:b w:val="0"/>
          <w:i w:val="0"/>
          <w:color w:val="1E2933"/>
          <w:sz w:val="18"/>
        </w:rPr>
        <w:t>Assumption for the recommendation: no further guard reduction is treated as justified unless equivalent observation, communications, escalation, and site-response conditions are demonstrated. This is a management control, not a statutory or legal threshold.</w:t>
      </w:r>
    </w:p>
    <w:p>
      <w:pPr>
        <w:spacing w:after="50" w:line="245" w:lineRule="auto"/>
        <w:ind w:left="245" w:hanging="187"/>
      </w:pPr>
      <w:r>
        <w:rPr>
          <w:rFonts w:ascii="Liberation Sans" w:hAnsi="Liberation Sans" w:eastAsia="Liberation Sans"/>
          <w:b/>
          <w:i w:val="0"/>
          <w:color w:val="1D6F73"/>
          <w:sz w:val="18"/>
        </w:rPr>
        <w:t xml:space="preserve">• </w:t>
      </w:r>
      <w:r>
        <w:rPr>
          <w:rFonts w:ascii="Liberation Sans" w:hAnsi="Liberation Sans" w:eastAsia="Liberation Sans"/>
          <w:b w:val="0"/>
          <w:i w:val="0"/>
          <w:color w:val="1E2933"/>
          <w:sz w:val="18"/>
        </w:rPr>
        <w:t>Evidence gap: coverage maps, operating hours, outage duration and scope, alert definitions, duplicate rules, response records, unresolved alerts, and the vendor's actual service scope are needed before anyone can claim a trend or set a numerical staffing plan.</w:t>
      </w:r>
    </w:p>
    <w:tbl>
      <w:tblPr>
        <w:tblW w:type="auto" w:w="0"/>
        <w:jc w:val="center"/>
        <w:tblLayout w:type="fixed"/>
        <w:tblLook w:firstColumn="1" w:firstRow="1" w:lastColumn="0" w:lastRow="0" w:noHBand="0" w:noVBand="1" w:val="04A0"/>
      </w:tblPr>
      <w:tblGrid>
        <w:gridCol w:w="10310"/>
      </w:tblGrid>
      <w:tr>
        <w:tc>
          <w:tcPr>
            <w:tcW w:type="dxa" w:w="10296"/>
            <w:tcMar>
              <w:top w:w="125" w:type="dxa"/>
              <w:start w:w="155" w:type="dxa"/>
              <w:bottom w:w="125" w:type="dxa"/>
              <w:end w:w="155" w:type="dxa"/>
            </w:tcMar>
            <w:shd w:fill="FFF4D6" w:val="clear"/>
            <w:tcBorders>
              <w:top w:val="single" w:sz="4" w:color="CAD3D9"/>
              <w:left w:val="single" w:sz="22" w:color="9A6515"/>
              <w:bottom w:val="single" w:sz="4" w:color="CAD3D9"/>
              <w:right w:val="single" w:sz="4" w:color="CAD3D9"/>
            </w:tcBorders>
          </w:tcPr>
          <w:p>
            <w:pPr>
              <w:spacing w:after="40"/>
            </w:pPr>
            <w:r>
              <w:rPr>
                <w:rFonts w:ascii="Liberation Sans" w:hAnsi="Liberation Sans" w:eastAsia="Liberation Sans"/>
                <w:b/>
                <w:i w:val="0"/>
                <w:color w:val="9A6515"/>
                <w:sz w:val="14"/>
              </w:rPr>
              <w:t>RULE-OF-THUMB BOUNDARY</w:t>
            </w:r>
          </w:p>
          <w:p>
            <w:pPr>
              <w:keepNext/>
              <w:spacing w:after="60"/>
            </w:pPr>
            <w:r>
              <w:rPr>
                <w:rFonts w:ascii="Liberation Sans" w:hAnsi="Liberation Sans" w:eastAsia="Liberation Sans"/>
                <w:b/>
                <w:i w:val="0"/>
                <w:color w:val="1F3349"/>
                <w:sz w:val="20"/>
              </w:rPr>
              <w:t>Fewer logged incidents do not, by themselves, establish lower underlying risk.</w:t>
            </w:r>
          </w:p>
          <w:p>
            <w:pPr>
              <w:spacing w:after="0" w:line="247" w:lineRule="auto"/>
            </w:pPr>
            <w:r>
              <w:rPr>
                <w:rFonts w:ascii="Liberation Sans" w:hAnsi="Liberation Sans" w:eastAsia="Liberation Sans"/>
                <w:b w:val="0"/>
                <w:i w:val="0"/>
                <w:color w:val="1E2933"/>
                <w:sz w:val="17"/>
              </w:rPr>
              <w:t>The common shortcut is to treat a quieter record as proof of improved safety or to remove physical presence once logs decline. It stops being reliable here when reporting conditions changed, exposure or coverage changed, the monitoring channel was degraded or unavailable, or classification and escalation were not held constant. An alert is an indication requiring assessment, not proof of an intrusion; no alert or logged event is not proof that no event occurred.</w:t>
            </w:r>
          </w:p>
        </w:tc>
      </w:tr>
    </w:tbl>
    <w:p>
      <w:pPr>
        <w:spacing w:after="20"/>
      </w:pPr>
    </w:p>
    <w:p>
      <w:pPr>
        <w:spacing w:after="0" w:line="250" w:lineRule="auto"/>
        <w:ind w:firstLine="0"/>
      </w:pPr>
      <w:r>
        <w:rPr>
          <w:rFonts w:ascii="Liberation Sans" w:hAnsi="Liberation Sans" w:eastAsia="Liberation Sans"/>
          <w:b w:val="0"/>
          <w:i w:val="0"/>
          <w:color w:val="1E2933"/>
          <w:sz w:val="18"/>
        </w:rPr>
        <w:t>Decision-relevant finding: the material change that can be acted on now is not an unverified incident trend. It is the control dependency exposed by the transition: routine remote observation must have a tested degraded mode, and the severe outage-and-armed-intrusion case must sit outside routine verification.</w:t>
      </w:r>
    </w:p>
    <w:p>
      <w:r>
        <w:br w:type="page"/>
      </w:r>
    </w:p>
    <w:p>
      <w:pPr>
        <w:keepNext/>
        <w:spacing w:after="40"/>
      </w:pPr>
      <w:r>
        <w:rPr>
          <w:rFonts w:ascii="Liberation Sans" w:hAnsi="Liberation Sans" w:eastAsia="Liberation Sans"/>
          <w:b/>
          <w:i w:val="0"/>
          <w:color w:val="1D6F73"/>
          <w:sz w:val="15"/>
        </w:rPr>
        <w:t>02  |  ALTERNATIVES AND RECOMMENDATION</w:t>
      </w:r>
    </w:p>
    <w:p>
      <w:pPr>
        <w:pStyle w:val="Heading1"/>
        <w:keepNext/>
        <w:spacing w:before="20" w:after="80"/>
      </w:pPr>
      <w:r>
        <w:rPr>
          <w:rFonts w:ascii="Liberation Sans" w:hAnsi="Liberation Sans" w:eastAsia="Liberation Sans"/>
          <w:b/>
          <w:i w:val="0"/>
          <w:color w:val="1F3349"/>
          <w:sz w:val="28"/>
        </w:rPr>
        <w:t>Options against the approval dimensions</w:t>
      </w:r>
    </w:p>
    <w:p>
      <w:pPr>
        <w:spacing w:after="90" w:line="250" w:lineRule="auto"/>
        <w:ind w:firstLine="0"/>
      </w:pPr>
      <w:r>
        <w:rPr>
          <w:rFonts w:ascii="Liberation Sans" w:hAnsi="Liberation Sans" w:eastAsia="Liberation Sans"/>
          <w:b w:val="0"/>
          <w:i w:val="0"/>
          <w:color w:val="1E2933"/>
          <w:sz w:val="18"/>
        </w:rPr>
        <w:t>The alternatives are compared on safety and resilience, operational coverage, cost or resource burden, and compliance or reputational exposure. None is a guarantee. The comparison is qualitative because the brief supplies no cost data, staffing plan, technical specification, or legal standard.</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1440"/>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3"/>
              </w:rPr>
              <w:t>OPTION</w:t>
            </w:r>
          </w:p>
        </w:tc>
        <w:tc>
          <w:tcPr>
            <w:tcW w:type="dxa" w:w="2232"/>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3"/>
              </w:rPr>
              <w:t>SAFETY / RESILIENCE</w:t>
            </w:r>
          </w:p>
        </w:tc>
        <w:tc>
          <w:tcPr>
            <w:tcW w:type="dxa" w:w="2232"/>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3"/>
              </w:rPr>
              <w:t>OPERATIONAL COVERAGE</w:t>
            </w:r>
          </w:p>
        </w:tc>
        <w:tc>
          <w:tcPr>
            <w:tcW w:type="dxa" w:w="2088"/>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3"/>
              </w:rPr>
              <w:t>COST / RESOURCES</w:t>
            </w:r>
          </w:p>
        </w:tc>
        <w:tc>
          <w:tcPr>
            <w:tcW w:type="dxa" w:w="2304"/>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3"/>
              </w:rPr>
              <w:t>COMPLIANCE / REPUTATION</w:t>
            </w:r>
          </w:p>
        </w:tc>
      </w:tr>
      <w:tr>
        <w:trPr>
          <w:cantSplit/>
        </w:trPr>
        <w:tc>
          <w:tcPr>
            <w:tcW w:type="dxa" w:w="1440"/>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Fixed guard posts</w:t>
            </w:r>
          </w:p>
        </w:tc>
        <w:tc>
          <w:tcPr>
            <w:tcW w:type="dxa" w:w="2232"/>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Provides visible presence, local observation, access interaction, and a direct physical fallback. Guards do not guarantee prevention, detection, or a safe outcome.</w:t>
            </w:r>
          </w:p>
        </w:tc>
        <w:tc>
          <w:tcPr>
            <w:tcW w:type="dxa" w:w="2232"/>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Coverage is bounded by post location, visibility, shift presence, and human attention; it may leave other areas or times less observed.</w:t>
            </w:r>
          </w:p>
        </w:tc>
        <w:tc>
          <w:tcPr>
            <w:tcW w:type="dxa" w:w="208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Carries recurring labor, supervision, scheduling, and potential contract burden; no amount or cost is established.</w:t>
            </w:r>
          </w:p>
        </w:tc>
        <w:tc>
          <w:tcPr>
            <w:tcW w:type="dxa" w:w="230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A visible control may support confidence and traceability, while duty scope and labor/contract implications require review.</w:t>
            </w:r>
          </w:p>
        </w:tc>
      </w:tr>
      <w:tr>
        <w:trPr>
          <w:cantSplit/>
        </w:trPr>
        <w:tc>
          <w:tcPr>
            <w:tcW w:type="dxa" w:w="1440"/>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Bramblewood remote monitoring</w:t>
            </w:r>
          </w:p>
        </w:tc>
        <w:tc>
          <w:tcPr>
            <w:tcW w:type="dxa" w:w="2232"/>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May extend observation and central assessment beyond a fixed post when available and followed by people. It is not equivalent to physical presence and does not guarantee prevention or response.</w:t>
            </w:r>
          </w:p>
        </w:tc>
        <w:tc>
          <w:tcPr>
            <w:tcW w:type="dxa" w:w="2232"/>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Depends on power, communications, sensor/camera availability, alert verification, escalation, and site follow-through. No capability, uptime, response time, staffing, or integration is established.</w:t>
            </w:r>
          </w:p>
        </w:tc>
        <w:tc>
          <w:tcPr>
            <w:tcW w:type="dxa" w:w="208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Could reduce fixed-post resource burden in a demonstrated end state; no saving, fee, or vendor commitment is supplied.</w:t>
            </w:r>
          </w:p>
        </w:tc>
        <w:tc>
          <w:tcPr>
            <w:tcW w:type="dxa" w:w="2304"/>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Consistent records may help accountability; outages, missed handoffs, or unclear scope can create compliance and reputation exposure.</w:t>
            </w:r>
          </w:p>
        </w:tc>
      </w:tr>
      <w:tr>
        <w:trPr>
          <w:cantSplit/>
        </w:trPr>
        <w:tc>
          <w:tcPr>
            <w:tcW w:type="dxa" w:w="1440"/>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Staged hybrid / residual guard</w:t>
            </w:r>
          </w:p>
        </w:tc>
        <w:tc>
          <w:tcPr>
            <w:tcW w:type="dxa" w:w="2232"/>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Retains a physical fallback while remote observation proves dependable and prevents a single channel failure from becoming the whole control.</w:t>
            </w:r>
          </w:p>
        </w:tc>
        <w:tc>
          <w:tcPr>
            <w:tcW w:type="dxa" w:w="2232"/>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Uses remote monitoring for routine coverage and physical presence for high-consequence points and degraded mode; exact locations and hours require a site assessment.</w:t>
            </w:r>
          </w:p>
        </w:tc>
        <w:tc>
          <w:tcPr>
            <w:tcW w:type="dxa" w:w="208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Defers the full guard reduction and keeps resource burden during transition, but avoids unsupported optimization based on a changed log.</w:t>
            </w:r>
          </w:p>
        </w:tc>
        <w:tc>
          <w:tcPr>
            <w:tcW w:type="dxa" w:w="230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Makes conditions, handoffs, records, and exception treatment visible for Legal and contracting review; it is not a legal conclusion.</w:t>
            </w:r>
          </w:p>
        </w:tc>
      </w:tr>
    </w:tbl>
    <w:p>
      <w:pPr>
        <w:spacing w:after="20"/>
      </w:pPr>
    </w:p>
    <w:tbl>
      <w:tblPr>
        <w:tblW w:type="auto" w:w="0"/>
        <w:jc w:val="center"/>
        <w:tblLayout w:type="fixed"/>
        <w:tblLook w:firstColumn="1" w:firstRow="1" w:lastColumn="0" w:lastRow="0" w:noHBand="0" w:noVBand="1" w:val="04A0"/>
      </w:tblPr>
      <w:tblGrid>
        <w:gridCol w:w="10310"/>
      </w:tblGrid>
      <w:tr>
        <w:tc>
          <w:tcPr>
            <w:tcW w:type="dxa" w:w="10296"/>
            <w:tcMar>
              <w:top w:w="125" w:type="dxa"/>
              <w:start w:w="155" w:type="dxa"/>
              <w:bottom w:w="125" w:type="dxa"/>
              <w:end w:w="155" w:type="dxa"/>
            </w:tcMar>
            <w:shd w:fill="E7F2F1" w:val="clear"/>
            <w:tcBorders>
              <w:top w:val="single" w:sz="4" w:color="CAD3D9"/>
              <w:left w:val="single" w:sz="22" w:color="1D6F73"/>
              <w:bottom w:val="single" w:sz="4" w:color="CAD3D9"/>
              <w:right w:val="single" w:sz="4" w:color="CAD3D9"/>
            </w:tcBorders>
          </w:tcPr>
          <w:p>
            <w:pPr>
              <w:spacing w:after="40"/>
            </w:pPr>
            <w:r>
              <w:rPr>
                <w:rFonts w:ascii="Liberation Sans" w:hAnsi="Liberation Sans" w:eastAsia="Liberation Sans"/>
                <w:b/>
                <w:i w:val="0"/>
                <w:color w:val="1D6F73"/>
                <w:sz w:val="14"/>
              </w:rPr>
              <w:t>SELECTED OPERATING POSITION</w:t>
            </w:r>
          </w:p>
          <w:p>
            <w:pPr>
              <w:keepNext/>
              <w:spacing w:after="60"/>
            </w:pPr>
            <w:r>
              <w:rPr>
                <w:rFonts w:ascii="Liberation Sans" w:hAnsi="Liberation Sans" w:eastAsia="Liberation Sans"/>
                <w:b/>
                <w:i w:val="0"/>
                <w:color w:val="1F3349"/>
                <w:sz w:val="21"/>
              </w:rPr>
              <w:t>Approve a staged hybrid transition; do not authorize a further guard reduction on record quietness alone.</w:t>
            </w:r>
          </w:p>
          <w:p>
            <w:pPr>
              <w:spacing w:after="0" w:line="247" w:lineRule="auto"/>
            </w:pPr>
            <w:r>
              <w:rPr>
                <w:rFonts w:ascii="Liberation Sans" w:hAnsi="Liberation Sans" w:eastAsia="Liberation Sans"/>
                <w:b w:val="0"/>
                <w:i w:val="0"/>
                <w:color w:val="1E2933"/>
                <w:sz w:val="17"/>
              </w:rPr>
              <w:t>Remote monitoring is the preferred routine detection and assessment channel where its dependencies are demonstrated. The fixed guard coverage already retained is the transition floor. It remains available for local observation, deterrence, access or alarm verification where safe, response support, and fallback when the remote channel or human handoff is unavailable. This preserves transition efficiency as an objective while recognizing that the outage event makes residual risk material.</w:t>
            </w:r>
          </w:p>
        </w:tc>
      </w:tr>
    </w:tbl>
    <w:p>
      <w:pPr>
        <w:spacing w:after="20"/>
      </w:pPr>
    </w:p>
    <w:p>
      <w:pPr>
        <w:pStyle w:val="Heading2"/>
        <w:keepNext/>
        <w:spacing w:before="60" w:after="80"/>
      </w:pPr>
      <w:r>
        <w:rPr>
          <w:rFonts w:ascii="Liberation Sans" w:hAnsi="Liberation Sans" w:eastAsia="Liberation Sans"/>
          <w:b/>
          <w:i w:val="0"/>
          <w:color w:val="1F3349"/>
          <w:sz w:val="21"/>
        </w:rPr>
        <w:t>Residual guard coverage: a defensible floor</w:t>
      </w:r>
    </w:p>
    <w:p>
      <w:pPr>
        <w:spacing w:after="90" w:line="250" w:lineRule="auto"/>
        <w:ind w:firstLine="0"/>
      </w:pPr>
      <w:r>
        <w:rPr>
          <w:rFonts w:ascii="Liberation Sans" w:hAnsi="Liberation Sans" w:eastAsia="Liberation Sans"/>
          <w:b w:val="0"/>
          <w:i w:val="0"/>
          <w:color w:val="1E2933"/>
          <w:sz w:val="18"/>
        </w:rPr>
        <w:t>The available facts support retaining the fixed coverage already in place at the approval date, with no further reduction during the transition. They do not support inventing a post count, location, or shift schedule. The executable plan should identify the highest-consequence access or operating area(s) and keep the currently available physical guard coverage assigned to those points whenever remote monitoring, communications, or required human escalation is unavailable. This is a floor to hold while evidence is gathered, not a promise of a particular staffing level.</w:t>
      </w:r>
    </w:p>
    <w:p>
      <w:pPr>
        <w:spacing w:after="90" w:line="250" w:lineRule="auto"/>
        <w:ind w:firstLine="0"/>
      </w:pPr>
      <w:r>
        <w:rPr>
          <w:rFonts w:ascii="Liberation Sans" w:hAnsi="Liberation Sans" w:eastAsia="Liberation Sans"/>
          <w:b w:val="0"/>
          <w:i w:val="0"/>
          <w:color w:val="1E2933"/>
          <w:sz w:val="18"/>
        </w:rPr>
        <w:t>The guard function is bounded: visible deterrence; local observation; safe access or alarm verification under site procedure; communication and response support; and a physical fallback during degraded coverage. Guards cannot guarantee prevention, detect every event, make a remote view equivalent to presence, or assure a safe outcome. During an armed intrusion, they do not revert to routine alarm verification; the separate exception doctrine on page 5 controls.</w:t>
      </w:r>
    </w:p>
    <w:p>
      <w:pPr>
        <w:spacing w:after="0" w:line="250" w:lineRule="auto"/>
        <w:ind w:firstLine="0"/>
      </w:pPr>
      <w:r>
        <w:rPr>
          <w:rFonts w:ascii="Liberation Sans" w:hAnsi="Liberation Sans" w:eastAsia="Liberation Sans"/>
          <w:b w:val="0"/>
          <w:i w:val="0"/>
          <w:color w:val="1E2933"/>
          <w:sz w:val="18"/>
        </w:rPr>
        <w:t>This position is proportionate to the evidence. It preserves the protective value of presence while avoiding a claim that either guards or cameras are complete controls. It also keeps the decision reversible: if availability, response readiness, or exposure changes, the posture returns to the residual-guard floor without treating that trigger as a legal threshold.</w:t>
      </w:r>
    </w:p>
    <w:p>
      <w:r>
        <w:br w:type="page"/>
      </w:r>
    </w:p>
    <w:p>
      <w:pPr>
        <w:keepNext/>
        <w:spacing w:after="40"/>
      </w:pPr>
      <w:r>
        <w:rPr>
          <w:rFonts w:ascii="Liberation Sans" w:hAnsi="Liberation Sans" w:eastAsia="Liberation Sans"/>
          <w:b/>
          <w:i w:val="0"/>
          <w:color w:val="1D6F73"/>
          <w:sz w:val="15"/>
        </w:rPr>
        <w:t>03  |  TRANSITION OPERATING POSITION</w:t>
      </w:r>
    </w:p>
    <w:p>
      <w:pPr>
        <w:pStyle w:val="Heading1"/>
        <w:keepNext/>
        <w:spacing w:before="20" w:after="80"/>
      </w:pPr>
      <w:r>
        <w:rPr>
          <w:rFonts w:ascii="Liberation Sans" w:hAnsi="Liberation Sans" w:eastAsia="Liberation Sans"/>
          <w:b/>
          <w:i w:val="0"/>
          <w:color w:val="1F3349"/>
          <w:sz w:val="28"/>
        </w:rPr>
        <w:t>Who does what, and when the position can be relied upon</w:t>
      </w:r>
    </w:p>
    <w:p>
      <w:pPr>
        <w:spacing w:after="90" w:line="250" w:lineRule="auto"/>
        <w:ind w:firstLine="0"/>
      </w:pPr>
      <w:r>
        <w:rPr>
          <w:rFonts w:ascii="Liberation Sans" w:hAnsi="Liberation Sans" w:eastAsia="Liberation Sans"/>
          <w:b w:val="0"/>
          <w:i w:val="0"/>
          <w:color w:val="1E2933"/>
          <w:sz w:val="18"/>
        </w:rPr>
        <w:t>The following is operational practice for approval and planning. It is not legal advice. Legal determines applicable law and interpretation; contracting determines what Bramblewood's executed scope and remedies say. No service level, staffing commitment, integration, or approval is assumed because none is supplied in the brief.</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944"/>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OWNER</w:t>
            </w:r>
          </w:p>
        </w:tc>
        <w:tc>
          <w:tcPr>
            <w:tcW w:type="dxa" w:w="4464"/>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ACCOUNTABILITY / HANDOFF</w:t>
            </w:r>
          </w:p>
        </w:tc>
        <w:tc>
          <w:tcPr>
            <w:tcW w:type="dxa" w:w="3888"/>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BOUNDARY: WHAT THIS DOES NOT ESTABLISH</w:t>
            </w:r>
          </w:p>
        </w:tc>
      </w:tr>
      <w:tr>
        <w:trPr>
          <w:cantSplit/>
        </w:trPr>
        <w:tc>
          <w:tcPr>
            <w:tcW w:type="dxa" w:w="194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Bramblewood Advisory</w:t>
            </w:r>
          </w:p>
        </w:tc>
        <w:tc>
          <w:tcPr>
            <w:tcW w:type="dxa" w:w="446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Observe and assess signals within the agreed scope; distinguish an indication from a confirmed event; record availability, alerts, handoffs, and unresolved items; escalate through the approved primary route and an independent route when the primary monitoring path is unavailable.</w:t>
            </w:r>
          </w:p>
        </w:tc>
        <w:tc>
          <w:tcPr>
            <w:tcW w:type="dxa" w:w="388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This does not establish that Bramblewood currently has any named capability, response time, uptime, staffing, or integration. It does not transfer site-safety ownership or authorize a contract change.</w:t>
            </w:r>
          </w:p>
        </w:tc>
      </w:tr>
      <w:tr>
        <w:trPr>
          <w:cantSplit/>
        </w:trPr>
        <w:tc>
          <w:tcPr>
            <w:tcW w:type="dxa" w:w="1944"/>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Site personnel / retained guards</w:t>
            </w:r>
          </w:p>
        </w:tc>
        <w:tc>
          <w:tcPr>
            <w:tcW w:type="dxa" w:w="4464"/>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Receive a handoff, protect immediate safety, perform only safe and authorized local verification or access control, provide response support, and report facts to Kestrel management. Use the degraded or emergency posture when the remote channel cannot be relied upon.</w:t>
            </w:r>
          </w:p>
        </w:tc>
        <w:tc>
          <w:tcPr>
            <w:tcW w:type="dxa" w:w="388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This does not require confrontation, guarantee a safe outcome, or make a guard responsible for restoring the monitoring system. Armed-intrusion actions follow the separate emergency doctrine and established site procedures.</w:t>
            </w:r>
          </w:p>
        </w:tc>
      </w:tr>
      <w:tr>
        <w:trPr>
          <w:cantSplit/>
        </w:trPr>
        <w:tc>
          <w:tcPr>
            <w:tcW w:type="dxa" w:w="194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Kestrel Terminals management</w:t>
            </w:r>
          </w:p>
        </w:tc>
        <w:tc>
          <w:tcPr>
            <w:tcW w:type="dxa" w:w="446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Own the site risk posture, coverage decision, operating procedures, guard readiness, authoritative incident and outage record, escalation to leadership, and decision to return from degraded mode. Ivo Cordova and Kaia Yamamoto can translate this position into the executable operating plan.</w:t>
            </w:r>
          </w:p>
        </w:tc>
        <w:tc>
          <w:tcPr>
            <w:tcW w:type="dxa" w:w="388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This does not authorize Nadia Marchetti to deploy, reduce coverage, amend a contract, or make a jurisdiction-specific legal determination.</w:t>
            </w:r>
          </w:p>
        </w:tc>
      </w:tr>
      <w:tr>
        <w:trPr>
          <w:cantSplit/>
        </w:trPr>
        <w:tc>
          <w:tcPr>
            <w:tcW w:type="dxa" w:w="1944"/>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Legal and contracting</w:t>
            </w:r>
          </w:p>
        </w:tc>
        <w:tc>
          <w:tcPr>
            <w:tcW w:type="dxa" w:w="4464"/>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Review the proposed operating position, applicable legal questions, scope, records, notice and performance provisions, and any required approval or change instrument before reliance on the end state.</w:t>
            </w:r>
          </w:p>
        </w:tc>
        <w:tc>
          <w:tcPr>
            <w:tcW w:type="dxa" w:w="388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This review is not the immediate operational response to an armed intrusion or outage. Legal and contracting do not replace site safety leadership, emergency response, or operational escalation.</w:t>
            </w:r>
          </w:p>
        </w:tc>
      </w:tr>
    </w:tbl>
    <w:p>
      <w:pPr>
        <w:spacing w:after="20"/>
      </w:pPr>
    </w:p>
    <w:p>
      <w:pPr>
        <w:pStyle w:val="Heading2"/>
        <w:keepNext/>
        <w:spacing w:before="40" w:after="80"/>
      </w:pPr>
      <w:r>
        <w:rPr>
          <w:rFonts w:ascii="Liberation Sans" w:hAnsi="Liberation Sans" w:eastAsia="Liberation Sans"/>
          <w:b/>
          <w:i w:val="0"/>
          <w:color w:val="1F3349"/>
          <w:sz w:val="21"/>
        </w:rPr>
        <w:t>Conditions for dependable routine remote monitoring</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944"/>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DEPENDENCY</w:t>
            </w:r>
          </w:p>
        </w:tc>
        <w:tc>
          <w:tcPr>
            <w:tcW w:type="dxa" w:w="4968"/>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OPERATING CONDITION</w:t>
            </w:r>
          </w:p>
        </w:tc>
        <w:tc>
          <w:tcPr>
            <w:tcW w:type="dxa" w:w="3384"/>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BOUNDARY</w:t>
            </w:r>
          </w:p>
        </w:tc>
      </w:tr>
      <w:tr>
        <w:trPr>
          <w:cantSplit/>
        </w:trPr>
        <w:tc>
          <w:tcPr>
            <w:tcW w:type="dxa" w:w="194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Availability and coverage</w:t>
            </w:r>
          </w:p>
        </w:tc>
        <w:tc>
          <w:tcPr>
            <w:tcW w:type="dxa" w:w="496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The monitored areas, operating periods, power/comms dependencies, outage detection, and recovery status are known and recorded.</w:t>
            </w:r>
          </w:p>
        </w:tc>
        <w:tc>
          <w:tcPr>
            <w:tcW w:type="dxa" w:w="338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A system being installed or later restored does not by itself prove that the site is safe or that coverage is complete.</w:t>
            </w:r>
          </w:p>
        </w:tc>
      </w:tr>
      <w:tr>
        <w:trPr>
          <w:cantSplit/>
        </w:trPr>
        <w:tc>
          <w:tcPr>
            <w:tcW w:type="dxa" w:w="1944"/>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Assessment and escalation</w:t>
            </w:r>
          </w:p>
        </w:tc>
        <w:tc>
          <w:tcPr>
            <w:tcW w:type="dxa" w:w="496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Signals have agreed operational definitions, are assessed rather than treated as proof, and have a human handoff path for verified or unresolved concerns.</w:t>
            </w:r>
          </w:p>
        </w:tc>
        <w:tc>
          <w:tcPr>
            <w:tcW w:type="dxa" w:w="3384"/>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No numeric response promise or legal threshold is created by this control.</w:t>
            </w:r>
          </w:p>
        </w:tc>
      </w:tr>
      <w:tr>
        <w:trPr>
          <w:cantSplit/>
        </w:trPr>
        <w:tc>
          <w:tcPr>
            <w:tcW w:type="dxa" w:w="194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Independent communications</w:t>
            </w:r>
          </w:p>
        </w:tc>
        <w:tc>
          <w:tcPr>
            <w:tcW w:type="dxa" w:w="496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A route independent of the monitoring system can reach site leadership, retained guards/site personnel, and public emergency response as appropriate to the site plan.</w:t>
            </w:r>
          </w:p>
        </w:tc>
        <w:tc>
          <w:tcPr>
            <w:tcW w:type="dxa" w:w="338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The memo does not claim that a particular radio, phone, or emergency service is available or sufficient.</w:t>
            </w:r>
          </w:p>
        </w:tc>
      </w:tr>
      <w:tr>
        <w:trPr>
          <w:cantSplit/>
        </w:trPr>
        <w:tc>
          <w:tcPr>
            <w:tcW w:type="dxa" w:w="1944"/>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Human follow-through</w:t>
            </w:r>
          </w:p>
        </w:tc>
        <w:tc>
          <w:tcPr>
            <w:tcW w:type="dxa" w:w="4968"/>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Named Kestrel personnel or guards can receive, safely verify where appropriate, escalate, and close or leave open an event; unresolved alerts remain visible.</w:t>
            </w:r>
          </w:p>
        </w:tc>
        <w:tc>
          <w:tcPr>
            <w:tcW w:type="dxa" w:w="3384"/>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Remote observation is not physical presence and does not guarantee prevention or a safe outcome.</w:t>
            </w:r>
          </w:p>
        </w:tc>
      </w:tr>
      <w:tr>
        <w:trPr>
          <w:cantSplit/>
        </w:trPr>
        <w:tc>
          <w:tcPr>
            <w:tcW w:type="dxa" w:w="194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Records and assurance</w:t>
            </w:r>
          </w:p>
        </w:tc>
        <w:tc>
          <w:tcPr>
            <w:tcW w:type="dxa" w:w="4968"/>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Kestrel and Bramblewood use aligned event, duplicate, outage, and closure definitions and preserve records needed to compare periods and review exceptions.</w:t>
            </w:r>
          </w:p>
        </w:tc>
        <w:tc>
          <w:tcPr>
            <w:tcW w:type="dxa" w:w="3384"/>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A complete-looking log is not proof that no unobserved event occurred.</w:t>
            </w:r>
          </w:p>
        </w:tc>
      </w:tr>
    </w:tbl>
    <w:p>
      <w:pPr>
        <w:spacing w:after="20"/>
      </w:pPr>
    </w:p>
    <w:p>
      <w:pPr>
        <w:pStyle w:val="Heading2"/>
        <w:keepNext/>
        <w:spacing w:before="40" w:after="80"/>
      </w:pPr>
      <w:r>
        <w:rPr>
          <w:rFonts w:ascii="Liberation Sans" w:hAnsi="Liberation Sans" w:eastAsia="Liberation Sans"/>
          <w:b/>
          <w:i w:val="0"/>
          <w:color w:val="1F3349"/>
          <w:sz w:val="21"/>
        </w:rPr>
        <w:t>Transition state versus intended end state</w:t>
      </w:r>
    </w:p>
    <w:tbl>
      <w:tblPr>
        <w:tblW w:type="auto" w:w="0"/>
        <w:jc w:val="center"/>
        <w:tblLayout w:type="fixed"/>
        <w:tblLook w:firstColumn="1" w:firstRow="1" w:lastColumn="0" w:lastRow="0" w:noHBand="0" w:noVBand="1" w:val="04A0"/>
      </w:tblPr>
      <w:tblGrid>
        <w:gridCol w:w="5155"/>
        <w:gridCol w:w="5155"/>
      </w:tblGrid>
      <w:tr>
        <w:tc>
          <w:tcPr>
            <w:tcW w:type="dxa" w:w="5083"/>
            <w:tcMar>
              <w:top w:w="105" w:type="dxa"/>
              <w:start w:w="125" w:type="dxa"/>
              <w:bottom w:w="105" w:type="dxa"/>
              <w:end w:w="125" w:type="dxa"/>
            </w:tcMar>
            <w:shd w:fill="FFF4D6" w:val="clear"/>
            <w:tcBorders>
              <w:top w:val="single" w:sz="4" w:color="CAD3D9"/>
              <w:left w:val="single" w:sz="4" w:color="CAD3D9"/>
              <w:bottom w:val="single" w:sz="4" w:color="CAD3D9"/>
              <w:right w:val="single" w:sz="4" w:color="CAD3D9"/>
            </w:tcBorders>
            <w:vAlign w:val="top"/>
          </w:tcPr>
          <w:p>
            <w:pPr>
              <w:spacing w:after="40"/>
            </w:pPr>
            <w:r>
              <w:rPr>
                <w:rFonts w:ascii="Liberation Sans" w:hAnsi="Liberation Sans" w:eastAsia="Liberation Sans"/>
                <w:b/>
                <w:i w:val="0"/>
                <w:color w:val="1D6F73"/>
                <w:sz w:val="14"/>
              </w:rPr>
              <w:t>TRANSITION STATE | APPLIES NOW</w:t>
            </w:r>
          </w:p>
          <w:p>
            <w:pPr>
              <w:spacing w:after="0" w:line="245" w:lineRule="auto"/>
            </w:pPr>
            <w:r>
              <w:rPr>
                <w:rFonts w:ascii="Liberation Sans" w:hAnsi="Liberation Sans" w:eastAsia="Liberation Sans"/>
                <w:b w:val="0"/>
                <w:i w:val="0"/>
                <w:color w:val="1E2933"/>
                <w:sz w:val="17"/>
              </w:rPr>
              <w:t>Keep the retained fixed guard coverage; use remote monitoring as a conditional routine channel; enter degraded mode when availability, communications, or human escalation is unavailable; review every proposed coverage change against the conditions above.</w:t>
            </w:r>
          </w:p>
        </w:tc>
        <w:tc>
          <w:tcPr>
            <w:tcW w:type="dxa" w:w="5083"/>
            <w:tcMar>
              <w:top w:w="105" w:type="dxa"/>
              <w:start w:w="125" w:type="dxa"/>
              <w:bottom w:w="105" w:type="dxa"/>
              <w:end w:w="125" w:type="dxa"/>
            </w:tcMar>
            <w:shd w:fill="E7F2F1" w:val="clear"/>
            <w:tcBorders>
              <w:top w:val="single" w:sz="4" w:color="CAD3D9"/>
              <w:left w:val="single" w:sz="4" w:color="CAD3D9"/>
              <w:bottom w:val="single" w:sz="4" w:color="CAD3D9"/>
              <w:right w:val="single" w:sz="4" w:color="CAD3D9"/>
            </w:tcBorders>
            <w:vAlign w:val="top"/>
          </w:tcPr>
          <w:p>
            <w:pPr>
              <w:spacing w:after="40"/>
            </w:pPr>
            <w:r>
              <w:rPr>
                <w:rFonts w:ascii="Liberation Sans" w:hAnsi="Liberation Sans" w:eastAsia="Liberation Sans"/>
                <w:b/>
                <w:i w:val="0"/>
                <w:color w:val="2B5876"/>
                <w:sz w:val="14"/>
              </w:rPr>
              <w:t>INTENDED END STATE | CONDITIONAL</w:t>
            </w:r>
          </w:p>
          <w:p>
            <w:pPr>
              <w:spacing w:after="0" w:line="245" w:lineRule="auto"/>
            </w:pPr>
            <w:r>
              <w:rPr>
                <w:rFonts w:ascii="Liberation Sans" w:hAnsi="Liberation Sans" w:eastAsia="Liberation Sans"/>
                <w:b w:val="0"/>
                <w:i w:val="0"/>
                <w:color w:val="1E2933"/>
                <w:sz w:val="17"/>
              </w:rPr>
              <w:t>Remote monitoring is the routine primary detection and assessment channel, with only risk-justified residual physical coverage and a tested severe-exception posture. It is not complete or reliable merely because the migration is underway or the log is quieter.</w:t>
            </w:r>
          </w:p>
        </w:tc>
      </w:tr>
    </w:tbl>
    <w:p>
      <w:pPr>
        <w:spacing w:after="20"/>
      </w:pPr>
    </w:p>
    <w:p>
      <w:r>
        <w:br w:type="page"/>
      </w:r>
    </w:p>
    <w:p>
      <w:pPr>
        <w:keepNext/>
        <w:spacing w:after="40"/>
      </w:pPr>
      <w:r>
        <w:rPr>
          <w:rFonts w:ascii="Liberation Sans" w:hAnsi="Liberation Sans" w:eastAsia="Liberation Sans"/>
          <w:b/>
          <w:i w:val="0"/>
          <w:color w:val="8C332B"/>
          <w:sz w:val="15"/>
        </w:rPr>
        <w:t>04  |  SEPARATE SEVERE EXCEPTION</w:t>
      </w:r>
    </w:p>
    <w:p>
      <w:pPr>
        <w:pStyle w:val="Heading1"/>
        <w:keepNext/>
        <w:spacing w:before="20" w:after="80"/>
      </w:pPr>
      <w:r>
        <w:rPr>
          <w:rFonts w:ascii="Liberation Sans" w:hAnsi="Liberation Sans" w:eastAsia="Liberation Sans"/>
          <w:b/>
          <w:i w:val="0"/>
          <w:color w:val="8C332B"/>
          <w:sz w:val="28"/>
        </w:rPr>
        <w:t>Armed intrusion during a monitoring-system outage</w:t>
      </w:r>
    </w:p>
    <w:tbl>
      <w:tblPr>
        <w:tblW w:type="auto" w:w="0"/>
        <w:jc w:val="center"/>
        <w:tblLayout w:type="fixed"/>
        <w:tblLook w:firstColumn="1" w:firstRow="1" w:lastColumn="0" w:lastRow="0" w:noHBand="0" w:noVBand="1" w:val="04A0"/>
      </w:tblPr>
      <w:tblGrid>
        <w:gridCol w:w="10310"/>
      </w:tblGrid>
      <w:tr>
        <w:tc>
          <w:tcPr>
            <w:tcW w:type="dxa" w:w="10296"/>
            <w:tcMar>
              <w:top w:w="125" w:type="dxa"/>
              <w:start w:w="155" w:type="dxa"/>
              <w:bottom w:w="125" w:type="dxa"/>
              <w:end w:w="155" w:type="dxa"/>
            </w:tcMar>
            <w:shd w:fill="F8E9E7" w:val="clear"/>
            <w:tcBorders>
              <w:top w:val="single" w:sz="4" w:color="CAD3D9"/>
              <w:left w:val="single" w:sz="22" w:color="8C332B"/>
              <w:bottom w:val="single" w:sz="4" w:color="CAD3D9"/>
              <w:right w:val="single" w:sz="4" w:color="CAD3D9"/>
            </w:tcBorders>
          </w:tcPr>
          <w:p>
            <w:pPr>
              <w:spacing w:after="40"/>
            </w:pPr>
            <w:r>
              <w:rPr>
                <w:rFonts w:ascii="Liberation Sans" w:hAnsi="Liberation Sans" w:eastAsia="Liberation Sans"/>
                <w:b/>
                <w:i w:val="0"/>
                <w:color w:val="8C332B"/>
                <w:sz w:val="14"/>
              </w:rPr>
              <w:t>EXCEPTION DOCTRINE</w:t>
            </w:r>
          </w:p>
          <w:p>
            <w:pPr>
              <w:keepNext/>
              <w:spacing w:after="60"/>
            </w:pPr>
            <w:r>
              <w:rPr>
                <w:rFonts w:ascii="Liberation Sans" w:hAnsi="Liberation Sans" w:eastAsia="Liberation Sans"/>
                <w:b/>
                <w:i w:val="0"/>
                <w:color w:val="1F3349"/>
                <w:sz w:val="21"/>
              </w:rPr>
              <w:t>Treat this as a rare, high-consequence emergency and a degraded operating state, not as another routine alarm.</w:t>
            </w:r>
          </w:p>
          <w:p>
            <w:pPr>
              <w:spacing w:after="0" w:line="247" w:lineRule="auto"/>
            </w:pPr>
            <w:r>
              <w:rPr>
                <w:rFonts w:ascii="Liberation Sans" w:hAnsi="Liberation Sans" w:eastAsia="Liberation Sans"/>
                <w:b w:val="0"/>
                <w:i w:val="0"/>
                <w:color w:val="1E2933"/>
                <w:sz w:val="18"/>
              </w:rPr>
              <w:t>The fact pattern is an armed intrusion occurring while the monitoring system was unavailable. Its rarity does not make it an ordinary data point: the potential consequence is immediate harm to life and a simultaneous loss of normal detection and escalation. Protection of life and immediate site safety take priority over routine monitoring, reporting, ticket closure, or contract administration.</w:t>
            </w:r>
          </w:p>
        </w:tc>
      </w:tr>
    </w:tbl>
    <w:p>
      <w:pPr>
        <w:spacing w:after="20"/>
      </w:pPr>
    </w:p>
    <w:p>
      <w:pPr>
        <w:pStyle w:val="Heading2"/>
        <w:keepNext/>
        <w:spacing w:before="60" w:after="80"/>
      </w:pPr>
      <w:r>
        <w:rPr>
          <w:rFonts w:ascii="Liberation Sans" w:hAnsi="Liberation Sans" w:eastAsia="Liberation Sans"/>
          <w:b/>
          <w:i w:val="0"/>
          <w:color w:val="8C332B"/>
          <w:sz w:val="21"/>
        </w:rPr>
        <w:t>Required posture</w:t>
      </w:r>
    </w:p>
    <w:p>
      <w:pPr>
        <w:spacing w:after="60" w:line="245" w:lineRule="auto"/>
        <w:ind w:left="331" w:hanging="331"/>
      </w:pPr>
      <w:r>
        <w:rPr>
          <w:rFonts w:ascii="Liberation Sans" w:hAnsi="Liberation Sans" w:eastAsia="Liberation Sans"/>
          <w:b/>
          <w:i w:val="0"/>
          <w:color w:val="8C332B"/>
          <w:sz w:val="18"/>
        </w:rPr>
        <w:t xml:space="preserve">01  </w:t>
      </w:r>
      <w:r>
        <w:rPr>
          <w:rFonts w:ascii="Liberation Sans" w:hAnsi="Liberation Sans" w:eastAsia="Liberation Sans"/>
          <w:b/>
          <w:i w:val="0"/>
          <w:color w:val="1E2933"/>
          <w:sz w:val="18"/>
        </w:rPr>
        <w:t xml:space="preserve">Protect life first. </w:t>
      </w:r>
      <w:r>
        <w:rPr>
          <w:rFonts w:ascii="Liberation Sans" w:hAnsi="Liberation Sans" w:eastAsia="Liberation Sans"/>
          <w:b w:val="0"/>
          <w:i w:val="0"/>
          <w:color w:val="1E2933"/>
          <w:sz w:val="18"/>
        </w:rPr>
        <w:t>Site leadership, guards, and personnel follow the established emergency and protective procedures for the site and the circumstances. The physical response posture is protective and emergency-oriented, not a routine approach to verify an alarm. Tactical choices belong to trained and authorized responders; this memo supplies no jurisdiction-specific or tactical instruction.</w:t>
      </w:r>
    </w:p>
    <w:p>
      <w:pPr>
        <w:spacing w:after="60" w:line="245" w:lineRule="auto"/>
        <w:ind w:left="331" w:hanging="331"/>
      </w:pPr>
      <w:r>
        <w:rPr>
          <w:rFonts w:ascii="Liberation Sans" w:hAnsi="Liberation Sans" w:eastAsia="Liberation Sans"/>
          <w:b/>
          <w:i w:val="0"/>
          <w:color w:val="8C332B"/>
          <w:sz w:val="18"/>
        </w:rPr>
        <w:t xml:space="preserve">02  </w:t>
      </w:r>
      <w:r>
        <w:rPr>
          <w:rFonts w:ascii="Liberation Sans" w:hAnsi="Liberation Sans" w:eastAsia="Liberation Sans"/>
          <w:b/>
          <w:i w:val="0"/>
          <w:color w:val="1E2933"/>
          <w:sz w:val="18"/>
        </w:rPr>
        <w:t xml:space="preserve">Use an independent route. </w:t>
      </w:r>
      <w:r>
        <w:rPr>
          <w:rFonts w:ascii="Liberation Sans" w:hAnsi="Liberation Sans" w:eastAsia="Liberation Sans"/>
          <w:b w:val="0"/>
          <w:i w:val="0"/>
          <w:color w:val="1E2933"/>
          <w:sz w:val="18"/>
        </w:rPr>
        <w:t>When the monitoring system is unavailable, use an alternate communications path that does not depend on that failed channel to reach site leadership, retained guards or site personnel, and public emergency response as appropriate. Do not wait for Bramblewood to restore monitoring before making an urgent safety notification. The existence or adequacy of a particular route is not established here and must be confirmed in the operating plan.</w:t>
      </w:r>
    </w:p>
    <w:p>
      <w:pPr>
        <w:spacing w:after="60" w:line="245" w:lineRule="auto"/>
        <w:ind w:left="331" w:hanging="331"/>
      </w:pPr>
      <w:r>
        <w:rPr>
          <w:rFonts w:ascii="Liberation Sans" w:hAnsi="Liberation Sans" w:eastAsia="Liberation Sans"/>
          <w:b/>
          <w:i w:val="0"/>
          <w:color w:val="8C332B"/>
          <w:sz w:val="18"/>
        </w:rPr>
        <w:t xml:space="preserve">03  </w:t>
      </w:r>
      <w:r>
        <w:rPr>
          <w:rFonts w:ascii="Liberation Sans" w:hAnsi="Liberation Sans" w:eastAsia="Liberation Sans"/>
          <w:b/>
          <w:i w:val="0"/>
          <w:color w:val="1E2933"/>
          <w:sz w:val="18"/>
        </w:rPr>
        <w:t xml:space="preserve">Separate operational escalation from review. </w:t>
      </w:r>
      <w:r>
        <w:rPr>
          <w:rFonts w:ascii="Liberation Sans" w:hAnsi="Liberation Sans" w:eastAsia="Liberation Sans"/>
          <w:b w:val="0"/>
          <w:i w:val="0"/>
          <w:color w:val="1E2933"/>
          <w:sz w:val="18"/>
        </w:rPr>
        <w:t>Kestrel site leadership owns immediate protective coordination and escalation. Bramblewood reports known facts and the outage status through any available independent route and preserves its records. Legal and contracting are notified for later interpretation, preservation, scope, and performance review; they do not replace operational command or emergency response.</w:t>
      </w:r>
    </w:p>
    <w:p>
      <w:pPr>
        <w:spacing w:after="60" w:line="245" w:lineRule="auto"/>
        <w:ind w:left="331" w:hanging="331"/>
      </w:pPr>
      <w:r>
        <w:rPr>
          <w:rFonts w:ascii="Liberation Sans" w:hAnsi="Liberation Sans" w:eastAsia="Liberation Sans"/>
          <w:b/>
          <w:i w:val="0"/>
          <w:color w:val="8C332B"/>
          <w:sz w:val="18"/>
        </w:rPr>
        <w:t xml:space="preserve">04  </w:t>
      </w:r>
      <w:r>
        <w:rPr>
          <w:rFonts w:ascii="Liberation Sans" w:hAnsi="Liberation Sans" w:eastAsia="Liberation Sans"/>
          <w:b/>
          <w:i w:val="0"/>
          <w:color w:val="1E2933"/>
          <w:sz w:val="18"/>
        </w:rPr>
        <w:t xml:space="preserve">Preserve facts after safety is addressed. </w:t>
      </w:r>
      <w:r>
        <w:rPr>
          <w:rFonts w:ascii="Liberation Sans" w:hAnsi="Liberation Sans" w:eastAsia="Liberation Sans"/>
          <w:b w:val="0"/>
          <w:i w:val="0"/>
          <w:color w:val="1E2933"/>
          <w:sz w:val="18"/>
        </w:rPr>
        <w:t>Preserve the outage timeline and status, monitoring and access records, communications, notifications, contemporaneous accounts, and relevant scene or evidence information under applicable site procedures. This supports later review but does not determine liability, evidentiary admissibility, or a contractual breach.</w:t>
      </w:r>
    </w:p>
    <w:p>
      <w:pPr>
        <w:spacing w:after="60" w:line="245" w:lineRule="auto"/>
        <w:ind w:left="331" w:hanging="331"/>
      </w:pPr>
      <w:r>
        <w:rPr>
          <w:rFonts w:ascii="Liberation Sans" w:hAnsi="Liberation Sans" w:eastAsia="Liberation Sans"/>
          <w:b/>
          <w:i w:val="0"/>
          <w:color w:val="8C332B"/>
          <w:sz w:val="18"/>
        </w:rPr>
        <w:t xml:space="preserve">05  </w:t>
      </w:r>
      <w:r>
        <w:rPr>
          <w:rFonts w:ascii="Liberation Sans" w:hAnsi="Liberation Sans" w:eastAsia="Liberation Sans"/>
          <w:b/>
          <w:i w:val="0"/>
          <w:color w:val="1E2933"/>
          <w:sz w:val="18"/>
        </w:rPr>
        <w:t xml:space="preserve">Return only after readiness is re-established. </w:t>
      </w:r>
      <w:r>
        <w:rPr>
          <w:rFonts w:ascii="Liberation Sans" w:hAnsi="Liberation Sans" w:eastAsia="Liberation Sans"/>
          <w:b w:val="0"/>
          <w:i w:val="0"/>
          <w:color w:val="1E2933"/>
          <w:sz w:val="18"/>
        </w:rPr>
        <w:t>Return to ordinary monitoring only after the immediate hazard is addressed by authorized responders or site leadership, the monitoring and independent communications paths are separately checked, the required physical or human response coverage is available, and the facts are preserved and reviewed. Restoration or clearance of the monitoring outage alone is not proof that the site is safe and does not close the exception.</w:t>
      </w:r>
    </w:p>
    <w:tbl>
      <w:tblPr>
        <w:tblW w:type="auto" w:w="0"/>
        <w:jc w:val="center"/>
        <w:tblLayout w:type="fixed"/>
        <w:tblLook w:firstColumn="1" w:firstRow="1" w:lastColumn="0" w:lastRow="0" w:noHBand="0" w:noVBand="1" w:val="04A0"/>
      </w:tblPr>
      <w:tblGrid>
        <w:gridCol w:w="5155"/>
        <w:gridCol w:w="5155"/>
      </w:tblGrid>
      <w:tr>
        <w:tc>
          <w:tcPr>
            <w:tcW w:type="dxa" w:w="5083"/>
            <w:tcMar>
              <w:top w:w="105" w:type="dxa"/>
              <w:start w:w="125" w:type="dxa"/>
              <w:bottom w:w="105" w:type="dxa"/>
              <w:end w:w="125" w:type="dxa"/>
            </w:tcMar>
            <w:shd w:fill="F8E9E7" w:val="clear"/>
            <w:tcBorders>
              <w:top w:val="single" w:sz="4" w:color="CAD3D9"/>
              <w:left w:val="single" w:sz="4" w:color="CAD3D9"/>
              <w:bottom w:val="single" w:sz="4" w:color="CAD3D9"/>
              <w:right w:val="single" w:sz="4" w:color="CAD3D9"/>
            </w:tcBorders>
            <w:vAlign w:val="top"/>
          </w:tcPr>
          <w:p>
            <w:pPr>
              <w:spacing w:after="40"/>
            </w:pPr>
            <w:r>
              <w:rPr>
                <w:rFonts w:ascii="Liberation Sans" w:hAnsi="Liberation Sans" w:eastAsia="Liberation Sans"/>
                <w:b/>
                <w:i w:val="0"/>
                <w:color w:val="1D6F73"/>
                <w:sz w:val="14"/>
              </w:rPr>
              <w:t>WHAT THE EXCEPTION ESTABLISHES</w:t>
            </w:r>
          </w:p>
          <w:p>
            <w:pPr>
              <w:spacing w:after="0" w:line="245" w:lineRule="auto"/>
            </w:pPr>
            <w:r>
              <w:rPr>
                <w:rFonts w:ascii="Liberation Sans" w:hAnsi="Liberation Sans" w:eastAsia="Liberation Sans"/>
                <w:b w:val="0"/>
                <w:i w:val="0"/>
                <w:color w:val="1E2933"/>
                <w:sz w:val="17"/>
              </w:rPr>
              <w:t>An outage is a material operating dependency. The transition must have an independent communications path, a physical or human fallback, and an explicit return-to-readiness decision.</w:t>
            </w:r>
          </w:p>
        </w:tc>
        <w:tc>
          <w:tcPr>
            <w:tcW w:type="dxa" w:w="5083"/>
            <w:tcMar>
              <w:top w:w="105" w:type="dxa"/>
              <w:start w:w="125" w:type="dxa"/>
              <w:bottom w:w="105" w:type="dxa"/>
              <w:end w:w="125" w:type="dxa"/>
            </w:tcMar>
            <w:shd w:fill="F1F4F6" w:val="clear"/>
            <w:tcBorders>
              <w:top w:val="single" w:sz="4" w:color="CAD3D9"/>
              <w:left w:val="single" w:sz="4" w:color="CAD3D9"/>
              <w:bottom w:val="single" w:sz="4" w:color="CAD3D9"/>
              <w:right w:val="single" w:sz="4" w:color="CAD3D9"/>
            </w:tcBorders>
            <w:vAlign w:val="top"/>
          </w:tcPr>
          <w:p>
            <w:pPr>
              <w:spacing w:after="40"/>
            </w:pPr>
            <w:r>
              <w:rPr>
                <w:rFonts w:ascii="Liberation Sans" w:hAnsi="Liberation Sans" w:eastAsia="Liberation Sans"/>
                <w:b/>
                <w:i w:val="0"/>
                <w:color w:val="2B5876"/>
                <w:sz w:val="14"/>
              </w:rPr>
              <w:t>WHAT IT DOES NOT ESTABLISH</w:t>
            </w:r>
          </w:p>
          <w:p>
            <w:pPr>
              <w:spacing w:after="0" w:line="245" w:lineRule="auto"/>
            </w:pPr>
            <w:r>
              <w:rPr>
                <w:rFonts w:ascii="Liberation Sans" w:hAnsi="Liberation Sans" w:eastAsia="Liberation Sans"/>
                <w:b w:val="0"/>
                <w:i w:val="0"/>
                <w:color w:val="1E2933"/>
                <w:sz w:val="17"/>
              </w:rPr>
              <w:t>It does not prove that every remote-monitoring period is unsafe, that a guard would have prevented the event, or that the event supplies a legal or contractual conclusion.</w:t>
            </w:r>
          </w:p>
        </w:tc>
      </w:tr>
    </w:tbl>
    <w:p>
      <w:pPr>
        <w:spacing w:after="20"/>
      </w:pPr>
    </w:p>
    <w:p>
      <w:pPr>
        <w:pStyle w:val="Heading2"/>
        <w:keepNext/>
        <w:spacing w:before="80" w:after="80"/>
      </w:pPr>
      <w:r>
        <w:rPr>
          <w:rFonts w:ascii="Liberation Sans" w:hAnsi="Liberation Sans" w:eastAsia="Liberation Sans"/>
          <w:b/>
          <w:i w:val="0"/>
          <w:color w:val="2B5876"/>
          <w:sz w:val="21"/>
        </w:rPr>
        <w:t>Ordinary degraded mode outside the severe exception</w:t>
      </w:r>
    </w:p>
    <w:p>
      <w:pPr>
        <w:spacing w:after="0" w:line="250" w:lineRule="auto"/>
        <w:ind w:firstLine="0"/>
      </w:pPr>
      <w:r>
        <w:rPr>
          <w:rFonts w:ascii="Liberation Sans" w:hAnsi="Liberation Sans" w:eastAsia="Liberation Sans"/>
          <w:b w:val="0"/>
          <w:i w:val="0"/>
          <w:color w:val="1E2933"/>
          <w:sz w:val="18"/>
        </w:rPr>
        <w:t>For a monitoring, communications, or human-response outage without a known armed intrusion, move to the residual-guard floor, use the independent route, keep unresolved alerts open, and obtain management confirmation before resuming routine reliance. This is a lower posture than the severe exception, but it is still a meaningful change from normal remote monitoring. It is an operational control and not a statutory threshold.</w:t>
      </w:r>
    </w:p>
    <w:p>
      <w:r>
        <w:br w:type="page"/>
      </w:r>
    </w:p>
    <w:p>
      <w:pPr>
        <w:keepNext/>
        <w:spacing w:after="40"/>
      </w:pPr>
      <w:r>
        <w:rPr>
          <w:rFonts w:ascii="Liberation Sans" w:hAnsi="Liberation Sans" w:eastAsia="Liberation Sans"/>
          <w:b/>
          <w:i w:val="0"/>
          <w:color w:val="1D6F73"/>
          <w:sz w:val="15"/>
        </w:rPr>
        <w:t>05  |  APPROVAL DECISION</w:t>
      </w:r>
    </w:p>
    <w:p>
      <w:pPr>
        <w:pStyle w:val="Heading1"/>
        <w:keepNext/>
        <w:spacing w:before="20" w:after="80"/>
      </w:pPr>
      <w:r>
        <w:rPr>
          <w:rFonts w:ascii="Liberation Sans" w:hAnsi="Liberation Sans" w:eastAsia="Liberation Sans"/>
          <w:b/>
          <w:i w:val="0"/>
          <w:color w:val="1F3349"/>
          <w:sz w:val="28"/>
        </w:rPr>
        <w:t>The operating call for this approval week</w:t>
      </w:r>
    </w:p>
    <w:p>
      <w:pPr>
        <w:spacing w:after="90" w:line="250" w:lineRule="auto"/>
        <w:ind w:firstLine="0"/>
      </w:pPr>
      <w:r>
        <w:rPr>
          <w:rFonts w:ascii="Liberation Sans" w:hAnsi="Liberation Sans" w:eastAsia="Liberation Sans"/>
          <w:b w:val="0"/>
          <w:i w:val="0"/>
          <w:color w:val="1E2933"/>
          <w:sz w:val="18"/>
        </w:rPr>
        <w:t>The evidence is insufficient to declare that January-March was safer or less safe than April-June, and historical incident records alone cannot establish that Bramblewood's model is safe or effective. The reporting regime changed during the transition, and the outage event shows why availability and response readiness matter independently of incident counts. The recommendation therefore follows from resilience and evidence discipline, not from a claimed trend.</w:t>
      </w:r>
    </w:p>
    <w:p>
      <w:pPr>
        <w:pStyle w:val="Heading2"/>
        <w:keepNext/>
        <w:spacing w:before="60" w:after="80"/>
      </w:pPr>
      <w:r>
        <w:rPr>
          <w:rFonts w:ascii="Liberation Sans" w:hAnsi="Liberation Sans" w:eastAsia="Liberation Sans"/>
          <w:b/>
          <w:i w:val="0"/>
          <w:color w:val="1F3349"/>
          <w:sz w:val="21"/>
        </w:rPr>
        <w:t>Approval conditions to carry into the executable plan</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512"/>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DIMENSION</w:t>
            </w:r>
          </w:p>
        </w:tc>
        <w:tc>
          <w:tcPr>
            <w:tcW w:type="dxa" w:w="5112"/>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APPROVAL POSITION</w:t>
            </w:r>
          </w:p>
        </w:tc>
        <w:tc>
          <w:tcPr>
            <w:tcW w:type="dxa" w:w="3671"/>
            <w:shd w:fill="1F3349" w:val="clear"/>
            <w:tcMar>
              <w:top w:w="80" w:type="dxa"/>
              <w:start w:w="85" w:type="dxa"/>
              <w:bottom w:w="80" w:type="dxa"/>
              <w:end w:w="85" w:type="dxa"/>
            </w:tcMar>
          </w:tcPr>
          <w:p>
            <w:pPr>
              <w:spacing w:after="0" w:line="240" w:lineRule="auto"/>
            </w:pPr>
            <w:r>
              <w:rPr>
                <w:rFonts w:ascii="Liberation Sans" w:hAnsi="Liberation Sans" w:eastAsia="Liberation Sans"/>
                <w:b/>
                <w:i w:val="0"/>
                <w:color w:val="FFFFFF"/>
                <w:sz w:val="14"/>
              </w:rPr>
              <w:t>BOUNDARY</w:t>
            </w:r>
          </w:p>
        </w:tc>
      </w:tr>
      <w:tr>
        <w:trPr>
          <w:cantSplit/>
        </w:trPr>
        <w:tc>
          <w:tcPr>
            <w:tcW w:type="dxa" w:w="1512"/>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Priority</w:t>
            </w:r>
          </w:p>
        </w:tc>
        <w:tc>
          <w:tcPr>
            <w:tcW w:type="dxa" w:w="5112"/>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Protect life and maintain a credible physical or human fallback whenever the remote channel cannot be relied upon.</w:t>
            </w:r>
          </w:p>
        </w:tc>
        <w:tc>
          <w:tcPr>
            <w:tcW w:type="dxa" w:w="3671"/>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This prioritization does not authorize a tactical response, promise a safe outcome, or displace applicable emergency procedures.</w:t>
            </w:r>
          </w:p>
        </w:tc>
      </w:tr>
      <w:tr>
        <w:trPr>
          <w:cantSplit/>
        </w:trPr>
        <w:tc>
          <w:tcPr>
            <w:tcW w:type="dxa" w:w="1512"/>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Ownership</w:t>
            </w:r>
          </w:p>
        </w:tc>
        <w:tc>
          <w:tcPr>
            <w:tcW w:type="dxa" w:w="5112"/>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Kestrel owns site risk, coverage posture, records, and return-to-readiness; Bramblewood owns monitoring actions and records only within the agreed scope; Legal and contracting review interpretation and terms.</w:t>
            </w:r>
          </w:p>
        </w:tc>
        <w:tc>
          <w:tcPr>
            <w:tcW w:type="dxa" w:w="3671"/>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No party is assigned an unstated contractual duty by this memo.</w:t>
            </w:r>
          </w:p>
        </w:tc>
      </w:tr>
      <w:tr>
        <w:trPr>
          <w:cantSplit/>
        </w:trPr>
        <w:tc>
          <w:tcPr>
            <w:tcW w:type="dxa" w:w="1512"/>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Timing</w:t>
            </w:r>
          </w:p>
        </w:tc>
        <w:tc>
          <w:tcPr>
            <w:tcW w:type="dxa" w:w="5112"/>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Adopt the transition position for approval this week; hold the retained guard floor through transition; consider an end state only after the dependencies are demonstrated and documented.</w:t>
            </w:r>
          </w:p>
        </w:tc>
        <w:tc>
          <w:tcPr>
            <w:tcW w:type="dxa" w:w="3671"/>
            <w:tcMar>
              <w:top w:w="78" w:type="dxa"/>
              <w:start w:w="85" w:type="dxa"/>
              <w:bottom w:w="78" w:type="dxa"/>
              <w:end w:w="85" w:type="dxa"/>
            </w:tcMar>
            <w:shd w:fill="FFFFFF"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“Demonstrated” is a management decision criterion, not a statutory, regulatory, or legal threshold.</w:t>
            </w:r>
          </w:p>
        </w:tc>
      </w:tr>
      <w:tr>
        <w:trPr>
          <w:cantSplit/>
        </w:trPr>
        <w:tc>
          <w:tcPr>
            <w:tcW w:type="dxa" w:w="1512"/>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i w:val="0"/>
                <w:color w:val="1E2933"/>
                <w:sz w:val="14"/>
              </w:rPr>
              <w:t>Reconsideration</w:t>
            </w:r>
          </w:p>
        </w:tc>
        <w:tc>
          <w:tcPr>
            <w:tcW w:type="dxa" w:w="5112"/>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Re-enter the residual-guard or severe-exception posture after unavailability, failed communications or handoff, material exposure change, unresolved event concern, or an armed intrusion during outage.</w:t>
            </w:r>
          </w:p>
        </w:tc>
        <w:tc>
          <w:tcPr>
            <w:tcW w:type="dxa" w:w="3671"/>
            <w:tcMar>
              <w:top w:w="78" w:type="dxa"/>
              <w:start w:w="85" w:type="dxa"/>
              <w:bottom w:w="78" w:type="dxa"/>
              <w:end w:w="85" w:type="dxa"/>
            </w:tcMar>
            <w:shd w:fill="F4F7F8" w:val="clear"/>
            <w:vAlign w:val="top"/>
            <w:tcBorders>
              <w:top w:val="single" w:sz="3" w:color="CAD3D9"/>
              <w:left w:val="single" w:sz="3" w:color="CAD3D9"/>
              <w:bottom w:val="single" w:sz="3" w:color="CAD3D9"/>
              <w:right w:val="single" w:sz="3" w:color="CAD3D9"/>
            </w:tcBorders>
          </w:tcPr>
          <w:p>
            <w:pPr>
              <w:spacing w:after="0" w:line="240" w:lineRule="auto"/>
            </w:pPr>
            <w:r>
              <w:rPr>
                <w:rFonts w:ascii="Liberation Sans" w:hAnsi="Liberation Sans" w:eastAsia="Liberation Sans"/>
                <w:b w:val="0"/>
                <w:i w:val="0"/>
                <w:color w:val="1E2933"/>
                <w:sz w:val="14"/>
              </w:rPr>
              <w:t>A trigger requires assessment; it does not by itself prove causation, liability, or a breach.</w:t>
            </w:r>
          </w:p>
        </w:tc>
      </w:tr>
    </w:tbl>
    <w:p>
      <w:pPr>
        <w:spacing w:after="20"/>
      </w:pPr>
    </w:p>
    <w:tbl>
      <w:tblPr>
        <w:tblW w:type="auto" w:w="0"/>
        <w:jc w:val="center"/>
        <w:tblLayout w:type="fixed"/>
        <w:tblLook w:firstColumn="1" w:firstRow="1" w:lastColumn="0" w:lastRow="0" w:noHBand="0" w:noVBand="1" w:val="04A0"/>
      </w:tblPr>
      <w:tblGrid>
        <w:gridCol w:w="10310"/>
      </w:tblGrid>
      <w:tr>
        <w:tc>
          <w:tcPr>
            <w:tcW w:type="dxa" w:w="10296"/>
            <w:tcMar>
              <w:top w:w="125" w:type="dxa"/>
              <w:start w:w="155" w:type="dxa"/>
              <w:bottom w:w="125" w:type="dxa"/>
              <w:end w:w="155" w:type="dxa"/>
            </w:tcMar>
            <w:shd w:fill="E7F2F1" w:val="clear"/>
            <w:tcBorders>
              <w:top w:val="single" w:sz="4" w:color="CAD3D9"/>
              <w:left w:val="single" w:sz="22" w:color="1D6F73"/>
              <w:bottom w:val="single" w:sz="4" w:color="CAD3D9"/>
              <w:right w:val="single" w:sz="4" w:color="CAD3D9"/>
            </w:tcBorders>
          </w:tcPr>
          <w:p>
            <w:pPr>
              <w:spacing w:after="40"/>
            </w:pPr>
            <w:r>
              <w:rPr>
                <w:rFonts w:ascii="Liberation Sans" w:hAnsi="Liberation Sans" w:eastAsia="Liberation Sans"/>
                <w:b/>
                <w:i w:val="0"/>
                <w:color w:val="1D6F73"/>
                <w:sz w:val="14"/>
              </w:rPr>
              <w:t>DECISION STATEMENT</w:t>
            </w:r>
          </w:p>
          <w:p>
            <w:pPr>
              <w:keepNext/>
              <w:spacing w:after="60"/>
            </w:pPr>
            <w:r>
              <w:rPr>
                <w:rFonts w:ascii="Liberation Sans" w:hAnsi="Liberation Sans" w:eastAsia="Liberation Sans"/>
                <w:b/>
                <w:i w:val="0"/>
                <w:color w:val="1F3349"/>
                <w:sz w:val="22"/>
              </w:rPr>
              <w:t>APPROVE THE STAGED HYBRID OPERATING POSITION.</w:t>
            </w:r>
          </w:p>
          <w:p>
            <w:pPr>
              <w:spacing w:after="0" w:line="247" w:lineRule="auto"/>
            </w:pPr>
            <w:r>
              <w:rPr>
                <w:rFonts w:ascii="Liberation Sans" w:hAnsi="Liberation Sans" w:eastAsia="Liberation Sans"/>
                <w:b w:val="0"/>
                <w:i w:val="0"/>
                <w:color w:val="1E2933"/>
                <w:sz w:val="18"/>
              </w:rPr>
              <w:t>Legal and contracting should approve, for implementation planning, the use of Bramblewood Advisory remote monitoring as the conditional routine primary channel, retention of existing residual fixed guard coverage through the transition, mandatory degraded-mode handling when monitoring, communications, or human escalation is unavailable, and the separate life-safety doctrine for an armed intrusion during an outage. Nadia Marchetti presents this bounded recommendation; she does not independently authorize deployment, reduce coverage, amend Bramblewood's contract, or decide a jurisdiction-specific legal question. The approval decision is to proceed on this bounded operating basis.</w:t>
            </w:r>
          </w:p>
        </w:tc>
      </w:tr>
    </w:tbl>
    <w:p>
      <w:pPr>
        <w:spacing w:after="20"/>
      </w:pPr>
    </w:p>
    <w:p>
      <w:pPr>
        <w:spacing w:before="100" w:after="0"/>
        <w:jc w:val="right"/>
      </w:pPr>
      <w:r>
        <w:rPr>
          <w:rFonts w:ascii="Liberation Sans" w:hAnsi="Liberation Sans" w:eastAsia="Liberation Sans"/>
          <w:b/>
          <w:i w:val="0"/>
          <w:color w:val="1F3349"/>
          <w:sz w:val="18"/>
        </w:rPr>
        <w:t>Nadia Marchetti</w:t>
      </w:r>
    </w:p>
    <w:p>
      <w:pPr>
        <w:spacing w:after="0"/>
        <w:jc w:val="right"/>
      </w:pPr>
      <w:r>
        <w:rPr>
          <w:rFonts w:ascii="Liberation Sans" w:hAnsi="Liberation Sans" w:eastAsia="Liberation Sans"/>
          <w:b w:val="0"/>
          <w:i w:val="0"/>
          <w:color w:val="5B6873"/>
          <w:sz w:val="16"/>
        </w:rPr>
        <w:t>First-line Supervisor, Kestrel Terminals</w:t>
      </w:r>
    </w:p>
    <w:sectPr w:rsidR="00FC693F" w:rsidRPr="0006063C" w:rsidSect="00034616">
      <w:headerReference w:type="default" r:id="rId9"/>
      <w:footerReference w:type="default" r:id="rId10"/>
      <w:pgSz w:w="12240" w:h="15840"/>
      <w:pgMar w:top="835" w:right="965" w:bottom="749" w:left="965" w:header="360"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Liberation Sans" w:hAnsi="Liberation Sans" w:eastAsia="Liberation Sans"/>
        <w:b w:val="0"/>
        <w:i w:val="0"/>
        <w:color w:val="5B6873"/>
        <w:sz w:val="14"/>
      </w:rPr>
      <w:t>INTERNAL WORKING MEMORANDUM  |  Operational recommendation for approval</w:t>
    </w:r>
    <w:r>
      <w:rPr>
        <w:rFonts w:ascii="Liberation Sans" w:hAnsi="Liberation Sans" w:eastAsia="Liberation Sans"/>
        <w:b w:val="0"/>
        <w:i w:val="0"/>
        <w:color w:val="5B6873"/>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1D6F73"/>
      </w:pBdr>
    </w:pPr>
    <w:r>
      <w:rPr>
        <w:rFonts w:ascii="Liberation Sans" w:hAnsi="Liberation Sans" w:eastAsia="Liberation Sans"/>
        <w:b/>
        <w:i w:val="0"/>
        <w:color w:val="1F3349"/>
        <w:sz w:val="14"/>
      </w:rPr>
      <w:t>KESTREL TERMINALS</w:t>
    </w:r>
    <w:r>
      <w:rPr>
        <w:rFonts w:ascii="Liberation Sans" w:hAnsi="Liberation Sans" w:eastAsia="Liberation Sans"/>
        <w:b/>
        <w:i w:val="0"/>
        <w:color w:val="5B6873"/>
        <w:sz w:val="14"/>
      </w:rPr>
      <w:t xml:space="preserve">   /   OPERATING DECISION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Liberation Sans" w:hAnsi="Liberation Sans" w:eastAsia="Liberation Sans"/>
      <w:color w:val="1E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Liberation Sans" w:hAnsi="Liberation Sans" w:eastAsia="Liberation Sans"/>
      <w:b/>
      <w:bCs/>
      <w:color w:val="1F3349"/>
      <w:sz w:val="28"/>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Liberation Sans" w:hAnsi="Liberation Sans" w:eastAsia="Liberation Sans"/>
      <w:b/>
      <w:bCs/>
      <w:color w:val="2B587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eastAsia="Liberation Sans"/>
      <w:b/>
      <w:color w:val="1F334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 Terminals Operating Decision Memorandum</dc:title>
  <dc:subject>Monitoring transition decision for Legal and contracting approval</dc:subject>
  <dc:creator>Nadia Marchetti</dc:creator>
  <cp:keywords>Kestrel Terminals; remote monitoring; fixed guards; decision memorandum</cp:keywords>
  <dc:description>generated by python-docx</dc:description>
  <cp:lastModifiedBy/>
  <cp:revision>1</cp:revision>
  <dcterms:created xsi:type="dcterms:W3CDTF">2013-12-23T23:15:00Z</dcterms:created>
  <dcterms:modified xsi:type="dcterms:W3CDTF">2013-12-23T23:15:00Z</dcterms:modified>
  <cp:category/>
</cp:coreProperties>
</file>