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17324D"/>
          <w:sz w:val="36"/>
        </w:rPr>
        <w:t>Delegated Signature-Authority Schedule</w:t>
      </w:r>
    </w:p>
    <w:p>
      <w:pPr>
        <w:spacing w:after="160"/>
      </w:pPr>
      <w:r>
        <w:rPr>
          <w:rFonts w:ascii="Arial" w:hAnsi="Arial"/>
          <w:color w:val="5B6770"/>
          <w:sz w:val="17"/>
        </w:rPr>
        <w:t>Saltmarsh Design Partnership  |  Audience: Project Managers and Finance Partner  |  Adoption-ready operating schedule</w:t>
      </w:r>
    </w:p>
    <w:tbl>
      <w:tblPr>
        <w:tblW w:type="auto" w:w="0"/>
        <w:tblLayout w:type="fixed"/>
        <w:tblLook w:firstColumn="1" w:firstRow="1" w:lastColumn="0" w:lastRow="0" w:noHBand="0" w:noVBand="1" w:val="04A0"/>
      </w:tblPr>
      <w:tblGrid>
        <w:gridCol w:w="10742"/>
      </w:tblGrid>
      <w:tr>
        <w:tc>
          <w:tcPr>
            <w:tcW w:type="dxa" w:w="10742"/>
            <w:shd w:fill="F4E6C2"/>
            <w:tcBorders>
              <w:top w:val="single" w:sz="5" w:color="D3BA76"/>
              <w:left w:val="single" w:sz="5" w:color="D3BA76"/>
              <w:bottom w:val="single" w:sz="5" w:color="D3BA76"/>
              <w:right w:val="single" w:sz="5" w:color="D3BA76"/>
            </w:tcBorders>
          </w:tcPr>
          <w:p>
            <w:pPr>
              <w:spacing w:after="20"/>
            </w:pPr>
            <w:r/>
            <w:r>
              <w:rPr>
                <w:rFonts w:ascii="Arial" w:hAnsi="Arial"/>
                <w:b/>
                <w:color w:val="17324D"/>
                <w:sz w:val="16"/>
              </w:rPr>
              <w:t xml:space="preserve">SOURCE PRECEDENCE. </w:t>
            </w:r>
            <w:r>
              <w:rPr>
                <w:rFonts w:ascii="Arial" w:hAnsi="Arial"/>
                <w:sz w:val="16"/>
              </w:rPr>
              <w:t>This delegation applies only to an active client engagement governed by the relevant current MSA. It does not amend, waive, or override that MSA. The legacy template in the authority pack is superseded and must not be used.</w:t>
            </w:r>
          </w:p>
        </w:tc>
      </w:tr>
    </w:tbl>
    <w:p>
      <w:pPr>
        <w:spacing w:after="0"/>
      </w:pPr>
    </w:p>
    <w:p>
      <w:pPr>
        <w:spacing w:before="140" w:after="60"/>
      </w:pPr>
      <w:r>
        <w:rPr>
          <w:rFonts w:ascii="Arial" w:hAnsi="Arial"/>
          <w:b/>
          <w:color w:val="007F82"/>
          <w:sz w:val="21"/>
        </w:rPr>
        <w:t>1  Read “approval” correctly before acting</w:t>
      </w:r>
    </w:p>
    <w:tbl>
      <w:tblPr>
        <w:tblStyle w:val="TableGrid"/>
        <w:tblW w:type="auto" w:w="0"/>
        <w:tblLayout w:type="fixed"/>
        <w:tblLook w:firstColumn="1" w:firstRow="1" w:lastColumn="0" w:lastRow="0" w:noHBand="0" w:noVBand="1" w:val="04A0"/>
      </w:tblPr>
      <w:tblGrid>
        <w:gridCol w:w="5371"/>
        <w:gridCol w:w="5371"/>
      </w:tblGrid>
      <w:tr>
        <w:trPr>
          <w:tblHeader w:val="true"/>
        </w:trPr>
        <w:tc>
          <w:tcPr>
            <w:tcW w:type="dxa" w:w="1944"/>
            <w:shd w:fill="17324D"/>
            <w:tcBorders>
              <w:top w:val="single" w:sz="5" w:color="17324D"/>
              <w:left w:val="single" w:sz="5" w:color="17324D"/>
              <w:bottom w:val="single" w:sz="5" w:color="17324D"/>
              <w:right w:val="single" w:sz="5" w:color="17324D"/>
            </w:tcBorders>
            <w:vAlign w:val="center"/>
          </w:tcPr>
          <w:p>
            <w:pPr>
              <w:spacing w:after="0" w:line="252" w:lineRule="auto"/>
            </w:pPr>
            <w:r/>
            <w:r>
              <w:rPr>
                <w:rFonts w:ascii="Arial" w:hAnsi="Arial"/>
                <w:b/>
                <w:color w:val="FFFFFF"/>
                <w:sz w:val="15"/>
              </w:rPr>
              <w:t>Term</w:t>
            </w:r>
          </w:p>
        </w:tc>
        <w:tc>
          <w:tcPr>
            <w:tcW w:type="dxa" w:w="8640"/>
            <w:shd w:fill="17324D"/>
            <w:tcBorders>
              <w:top w:val="single" w:sz="5" w:color="17324D"/>
              <w:left w:val="single" w:sz="5" w:color="17324D"/>
              <w:bottom w:val="single" w:sz="5" w:color="17324D"/>
              <w:right w:val="single" w:sz="5" w:color="17324D"/>
            </w:tcBorders>
            <w:vAlign w:val="center"/>
          </w:tcPr>
          <w:p>
            <w:pPr>
              <w:spacing w:after="0" w:line="252" w:lineRule="auto"/>
            </w:pPr>
            <w:r/>
            <w:r>
              <w:rPr>
                <w:rFonts w:ascii="Arial" w:hAnsi="Arial"/>
                <w:b/>
                <w:color w:val="FFFFFF"/>
                <w:sz w:val="15"/>
              </w:rPr>
              <w:t>Operational meaning</w:t>
            </w:r>
          </w:p>
        </w:tc>
      </w:tr>
      <w:tr>
        <w:tc>
          <w:tcPr>
            <w:tcW w:type="dxa" w:w="1944"/>
            <w:shd w:fill="FFFFFF"/>
            <w:tcBorders>
              <w:top w:val="single" w:sz="5" w:color="C8D2D8"/>
              <w:left w:val="single" w:sz="5" w:color="C8D2D8"/>
              <w:bottom w:val="single" w:sz="5" w:color="C8D2D8"/>
              <w:right w:val="single" w:sz="5" w:color="C8D2D8"/>
            </w:tcBorders>
            <w:vAlign w:val="center"/>
          </w:tcPr>
          <w:p>
            <w:pPr>
              <w:spacing w:after="0" w:line="252" w:lineRule="auto"/>
            </w:pPr>
            <w:r/>
            <w:r>
              <w:rPr>
                <w:rFonts w:ascii="Arial" w:hAnsi="Arial"/>
                <w:b w:val="0"/>
                <w:sz w:val="15"/>
              </w:rPr>
              <w:t>Internal approval</w:t>
            </w:r>
          </w:p>
        </w:tc>
        <w:tc>
          <w:tcPr>
            <w:tcW w:type="dxa" w:w="8640"/>
            <w:shd w:fill="FFFFFF"/>
            <w:tcBorders>
              <w:top w:val="single" w:sz="5" w:color="C8D2D8"/>
              <w:left w:val="single" w:sz="5" w:color="C8D2D8"/>
              <w:bottom w:val="single" w:sz="5" w:color="C8D2D8"/>
              <w:right w:val="single" w:sz="5" w:color="C8D2D8"/>
            </w:tcBorders>
            <w:vAlign w:val="center"/>
          </w:tcPr>
          <w:p>
            <w:pPr>
              <w:spacing w:after="0" w:line="252" w:lineRule="auto"/>
            </w:pPr>
            <w:r/>
            <w:r>
              <w:rPr>
                <w:rFonts w:ascii="Arial" w:hAnsi="Arial"/>
                <w:b w:val="0"/>
                <w:sz w:val="15"/>
              </w:rPr>
              <w:t>Saltmarsh’s delegated decision that the named role may approve or sign within this schedule. It is not the client’s consent.</w:t>
            </w:r>
          </w:p>
        </w:tc>
      </w:tr>
      <w:tr>
        <w:tc>
          <w:tcPr>
            <w:tcW w:type="dxa" w:w="1944"/>
            <w:shd w:fill="EAF0F5"/>
            <w:tcBorders>
              <w:top w:val="single" w:sz="5" w:color="C8D2D8"/>
              <w:left w:val="single" w:sz="5" w:color="C8D2D8"/>
              <w:bottom w:val="single" w:sz="5" w:color="C8D2D8"/>
              <w:right w:val="single" w:sz="5" w:color="C8D2D8"/>
            </w:tcBorders>
            <w:vAlign w:val="center"/>
          </w:tcPr>
          <w:p>
            <w:pPr>
              <w:spacing w:after="0" w:line="252" w:lineRule="auto"/>
            </w:pPr>
            <w:r/>
            <w:r>
              <w:rPr>
                <w:rFonts w:ascii="Arial" w:hAnsi="Arial"/>
                <w:b w:val="0"/>
                <w:sz w:val="15"/>
              </w:rPr>
              <w:t>Client authorization</w:t>
            </w:r>
          </w:p>
        </w:tc>
        <w:tc>
          <w:tcPr>
            <w:tcW w:type="dxa" w:w="8640"/>
            <w:shd w:fill="EAF0F5"/>
            <w:tcBorders>
              <w:top w:val="single" w:sz="5" w:color="C8D2D8"/>
              <w:left w:val="single" w:sz="5" w:color="C8D2D8"/>
              <w:bottom w:val="single" w:sz="5" w:color="C8D2D8"/>
              <w:right w:val="single" w:sz="5" w:color="C8D2D8"/>
            </w:tcBorders>
            <w:vAlign w:val="center"/>
          </w:tcPr>
          <w:p>
            <w:pPr>
              <w:spacing w:after="0" w:line="252" w:lineRule="auto"/>
            </w:pPr>
            <w:r/>
            <w:r>
              <w:rPr>
                <w:rFonts w:ascii="Arial" w:hAnsi="Arial"/>
                <w:b w:val="0"/>
                <w:sz w:val="15"/>
              </w:rPr>
              <w:t>The written client authorization or signed client change instrument required by the applicable MSA before changed work is authorized or proceeds.</w:t>
            </w:r>
          </w:p>
        </w:tc>
      </w:tr>
      <w:tr>
        <w:tc>
          <w:tcPr>
            <w:tcW w:type="dxa" w:w="1944"/>
            <w:shd w:fill="FFFFFF"/>
            <w:tcBorders>
              <w:top w:val="single" w:sz="5" w:color="C8D2D8"/>
              <w:left w:val="single" w:sz="5" w:color="C8D2D8"/>
              <w:bottom w:val="single" w:sz="5" w:color="C8D2D8"/>
              <w:right w:val="single" w:sz="5" w:color="C8D2D8"/>
            </w:tcBorders>
            <w:vAlign w:val="center"/>
          </w:tcPr>
          <w:p>
            <w:pPr>
              <w:spacing w:after="0" w:line="252" w:lineRule="auto"/>
            </w:pPr>
            <w:r/>
            <w:r>
              <w:rPr>
                <w:rFonts w:ascii="Arial" w:hAnsi="Arial"/>
                <w:b w:val="0"/>
                <w:sz w:val="15"/>
              </w:rPr>
              <w:t>Contractual notice</w:t>
            </w:r>
          </w:p>
        </w:tc>
        <w:tc>
          <w:tcPr>
            <w:tcW w:type="dxa" w:w="8640"/>
            <w:shd w:fill="FFFFFF"/>
            <w:tcBorders>
              <w:top w:val="single" w:sz="5" w:color="C8D2D8"/>
              <w:left w:val="single" w:sz="5" w:color="C8D2D8"/>
              <w:bottom w:val="single" w:sz="5" w:color="C8D2D8"/>
              <w:right w:val="single" w:sz="5" w:color="C8D2D8"/>
            </w:tcBorders>
            <w:vAlign w:val="center"/>
          </w:tcPr>
          <w:p>
            <w:pPr>
              <w:spacing w:after="0" w:line="252" w:lineRule="auto"/>
            </w:pPr>
            <w:r/>
            <w:r>
              <w:rPr>
                <w:rFonts w:ascii="Arial" w:hAnsi="Arial"/>
                <w:b w:val="0"/>
                <w:sz w:val="15"/>
              </w:rPr>
              <w:t>A separate written notice required to protect a potential time or cost claim. It has its own trigger, deadline, and evidence.</w:t>
            </w:r>
          </w:p>
        </w:tc>
      </w:tr>
    </w:tbl>
    <w:p>
      <w:pPr>
        <w:spacing w:after="0"/>
      </w:pPr>
    </w:p>
    <w:tbl>
      <w:tblPr>
        <w:tblW w:type="auto" w:w="0"/>
        <w:tblLayout w:type="fixed"/>
        <w:tblLook w:firstColumn="1" w:firstRow="1" w:lastColumn="0" w:lastRow="0" w:noHBand="0" w:noVBand="1" w:val="04A0"/>
      </w:tblPr>
      <w:tblGrid>
        <w:gridCol w:w="10742"/>
      </w:tblGrid>
      <w:tr>
        <w:tc>
          <w:tcPr>
            <w:tcW w:type="dxa" w:w="10742"/>
            <w:shd w:fill="F4E6C2"/>
            <w:tcBorders>
              <w:top w:val="single" w:sz="5" w:color="D3BA76"/>
              <w:left w:val="single" w:sz="5" w:color="D3BA76"/>
              <w:bottom w:val="single" w:sz="5" w:color="D3BA76"/>
              <w:right w:val="single" w:sz="5" w:color="D3BA76"/>
            </w:tcBorders>
          </w:tcPr>
          <w:p>
            <w:pPr>
              <w:spacing w:after="20"/>
            </w:pPr>
            <w:r/>
            <w:r>
              <w:rPr>
                <w:rFonts w:ascii="Arial" w:hAnsi="Arial"/>
                <w:b/>
                <w:color w:val="17324D"/>
                <w:sz w:val="16"/>
              </w:rPr>
              <w:t xml:space="preserve">DO NOT ASSUME. </w:t>
            </w:r>
            <w:r>
              <w:rPr>
                <w:rFonts w:ascii="Arial" w:hAnsi="Arial"/>
                <w:sz w:val="16"/>
              </w:rPr>
              <w:t>Internal approval within a dollar ceiling does not constitute contractual notice, does not cure late notice, and does not automatically preserve a claim.</w:t>
            </w:r>
          </w:p>
        </w:tc>
      </w:tr>
    </w:tbl>
    <w:p>
      <w:pPr>
        <w:spacing w:after="0"/>
      </w:pPr>
    </w:p>
    <w:p>
      <w:pPr>
        <w:spacing w:before="140" w:after="60"/>
      </w:pPr>
      <w:r>
        <w:rPr>
          <w:rFonts w:ascii="Arial" w:hAnsi="Arial"/>
          <w:b/>
          <w:color w:val="007F82"/>
          <w:sz w:val="21"/>
        </w:rPr>
        <w:t>2  Live variation decision: follow this sequence</w:t>
      </w:r>
    </w:p>
    <w:tbl>
      <w:tblPr>
        <w:tblStyle w:val="TableGrid"/>
        <w:tblW w:type="auto" w:w="0"/>
        <w:tblLayout w:type="fixed"/>
        <w:tblLook w:firstColumn="1" w:firstRow="1" w:lastColumn="0" w:lastRow="0" w:noHBand="0" w:noVBand="1" w:val="04A0"/>
      </w:tblPr>
      <w:tblGrid>
        <w:gridCol w:w="5371"/>
        <w:gridCol w:w="5371"/>
      </w:tblGrid>
      <w:tr>
        <w:trPr>
          <w:tblHeader w:val="true"/>
        </w:trPr>
        <w:tc>
          <w:tcPr>
            <w:tcW w:type="dxa" w:w="1123"/>
            <w:shd w:fill="17324D"/>
            <w:tcBorders>
              <w:top w:val="single" w:sz="5" w:color="17324D"/>
              <w:left w:val="single" w:sz="5" w:color="17324D"/>
              <w:bottom w:val="single" w:sz="5" w:color="17324D"/>
              <w:right w:val="single" w:sz="5" w:color="17324D"/>
            </w:tcBorders>
            <w:vAlign w:val="center"/>
          </w:tcPr>
          <w:p>
            <w:pPr>
              <w:spacing w:after="0" w:line="252" w:lineRule="auto"/>
            </w:pPr>
            <w:r/>
            <w:r>
              <w:rPr>
                <w:rFonts w:ascii="Arial" w:hAnsi="Arial"/>
                <w:b/>
                <w:color w:val="FFFFFF"/>
                <w:sz w:val="15"/>
              </w:rPr>
              <w:t>Step</w:t>
            </w:r>
          </w:p>
        </w:tc>
        <w:tc>
          <w:tcPr>
            <w:tcW w:type="dxa" w:w="9461"/>
            <w:shd w:fill="17324D"/>
            <w:tcBorders>
              <w:top w:val="single" w:sz="5" w:color="17324D"/>
              <w:left w:val="single" w:sz="5" w:color="17324D"/>
              <w:bottom w:val="single" w:sz="5" w:color="17324D"/>
              <w:right w:val="single" w:sz="5" w:color="17324D"/>
            </w:tcBorders>
            <w:vAlign w:val="center"/>
          </w:tcPr>
          <w:p>
            <w:pPr>
              <w:spacing w:after="0" w:line="252" w:lineRule="auto"/>
            </w:pPr>
            <w:r/>
            <w:r>
              <w:rPr>
                <w:rFonts w:ascii="Arial" w:hAnsi="Arial"/>
                <w:b/>
                <w:color w:val="FFFFFF"/>
                <w:sz w:val="15"/>
              </w:rPr>
              <w:t>Required check and action</w:t>
            </w:r>
          </w:p>
        </w:tc>
      </w:tr>
      <w:tr>
        <w:tc>
          <w:tcPr>
            <w:tcW w:type="dxa" w:w="1123"/>
            <w:shd w:fill="FFFFFF"/>
            <w:tcBorders>
              <w:top w:val="single" w:sz="5" w:color="C8D2D8"/>
              <w:left w:val="single" w:sz="5" w:color="C8D2D8"/>
              <w:bottom w:val="single" w:sz="5" w:color="C8D2D8"/>
              <w:right w:val="single" w:sz="5" w:color="C8D2D8"/>
            </w:tcBorders>
            <w:vAlign w:val="center"/>
          </w:tcPr>
          <w:p>
            <w:pPr>
              <w:spacing w:after="0" w:line="252" w:lineRule="auto"/>
            </w:pPr>
            <w:r/>
            <w:r>
              <w:rPr>
                <w:rFonts w:ascii="Arial" w:hAnsi="Arial"/>
                <w:b w:val="0"/>
                <w:sz w:val="15"/>
              </w:rPr>
              <w:t>1. Identify</w:t>
            </w:r>
          </w:p>
        </w:tc>
        <w:tc>
          <w:tcPr>
            <w:tcW w:type="dxa" w:w="9461"/>
            <w:shd w:fill="FFFFFF"/>
            <w:tcBorders>
              <w:top w:val="single" w:sz="5" w:color="C8D2D8"/>
              <w:left w:val="single" w:sz="5" w:color="C8D2D8"/>
              <w:bottom w:val="single" w:sz="5" w:color="C8D2D8"/>
              <w:right w:val="single" w:sz="5" w:color="C8D2D8"/>
            </w:tcBorders>
            <w:vAlign w:val="center"/>
          </w:tcPr>
          <w:p>
            <w:pPr>
              <w:spacing w:after="0" w:line="252" w:lineRule="auto"/>
            </w:pPr>
            <w:r/>
            <w:r>
              <w:rPr>
                <w:rFonts w:ascii="Arial" w:hAnsi="Arial"/>
                <w:b w:val="0"/>
                <w:sz w:val="15"/>
              </w:rPr>
              <w:t>Confirm the client and the active governing MSA; describe the underlying scope or decision, value, and date.</w:t>
            </w:r>
          </w:p>
        </w:tc>
      </w:tr>
      <w:tr>
        <w:tc>
          <w:tcPr>
            <w:tcW w:type="dxa" w:w="1123"/>
            <w:shd w:fill="EAF0F5"/>
            <w:tcBorders>
              <w:top w:val="single" w:sz="5" w:color="C8D2D8"/>
              <w:left w:val="single" w:sz="5" w:color="C8D2D8"/>
              <w:bottom w:val="single" w:sz="5" w:color="C8D2D8"/>
              <w:right w:val="single" w:sz="5" w:color="C8D2D8"/>
            </w:tcBorders>
            <w:vAlign w:val="center"/>
          </w:tcPr>
          <w:p>
            <w:pPr>
              <w:spacing w:after="0" w:line="252" w:lineRule="auto"/>
            </w:pPr>
            <w:r/>
            <w:r>
              <w:rPr>
                <w:rFonts w:ascii="Arial" w:hAnsi="Arial"/>
                <w:b w:val="0"/>
                <w:sz w:val="15"/>
              </w:rPr>
              <w:t>2. Aggregate</w:t>
            </w:r>
          </w:p>
        </w:tc>
        <w:tc>
          <w:tcPr>
            <w:tcW w:type="dxa" w:w="9461"/>
            <w:shd w:fill="EAF0F5"/>
            <w:tcBorders>
              <w:top w:val="single" w:sz="5" w:color="C8D2D8"/>
              <w:left w:val="single" w:sz="5" w:color="C8D2D8"/>
              <w:bottom w:val="single" w:sz="5" w:color="C8D2D8"/>
              <w:right w:val="single" w:sz="5" w:color="C8D2D8"/>
            </w:tcBorders>
            <w:vAlign w:val="center"/>
          </w:tcPr>
          <w:p>
            <w:pPr>
              <w:spacing w:after="0" w:line="252" w:lineRule="auto"/>
            </w:pPr>
            <w:r/>
            <w:r>
              <w:rPr>
                <w:rFonts w:ascii="Arial" w:hAnsi="Arial"/>
                <w:b w:val="0"/>
                <w:sz w:val="15"/>
              </w:rPr>
              <w:t>Treat related requests as one Variation when they arise from the same underlying scope or decision. Splitting requests, documents, or invoices creates no additional authority.</w:t>
            </w:r>
          </w:p>
        </w:tc>
      </w:tr>
      <w:tr>
        <w:tc>
          <w:tcPr>
            <w:tcW w:type="dxa" w:w="1123"/>
            <w:shd w:fill="FFFFFF"/>
            <w:tcBorders>
              <w:top w:val="single" w:sz="5" w:color="C8D2D8"/>
              <w:left w:val="single" w:sz="5" w:color="C8D2D8"/>
              <w:bottom w:val="single" w:sz="5" w:color="C8D2D8"/>
              <w:right w:val="single" w:sz="5" w:color="C8D2D8"/>
            </w:tcBorders>
            <w:vAlign w:val="center"/>
          </w:tcPr>
          <w:p>
            <w:pPr>
              <w:spacing w:after="0" w:line="252" w:lineRule="auto"/>
            </w:pPr>
            <w:r/>
            <w:r>
              <w:rPr>
                <w:rFonts w:ascii="Arial" w:hAnsi="Arial"/>
                <w:b w:val="0"/>
                <w:sz w:val="15"/>
              </w:rPr>
              <w:t>3. Test authority</w:t>
            </w:r>
          </w:p>
        </w:tc>
        <w:tc>
          <w:tcPr>
            <w:tcW w:type="dxa" w:w="9461"/>
            <w:shd w:fill="FFFFFF"/>
            <w:tcBorders>
              <w:top w:val="single" w:sz="5" w:color="C8D2D8"/>
              <w:left w:val="single" w:sz="5" w:color="C8D2D8"/>
              <w:bottom w:val="single" w:sz="5" w:color="C8D2D8"/>
              <w:right w:val="single" w:sz="5" w:color="C8D2D8"/>
            </w:tcBorders>
            <w:vAlign w:val="center"/>
          </w:tcPr>
          <w:p>
            <w:pPr>
              <w:spacing w:after="0" w:line="252" w:lineRule="auto"/>
            </w:pPr>
            <w:r/>
            <w:r>
              <w:rPr>
                <w:rFonts w:ascii="Arial" w:hAnsi="Arial"/>
                <w:b w:val="0"/>
                <w:sz w:val="15"/>
              </w:rPr>
              <w:t>Use the client row below. The operative amount is the lesser of the PM per-Variation ceiling and the remaining applicable MSA not-to-exceed amount.</w:t>
            </w:r>
          </w:p>
        </w:tc>
      </w:tr>
      <w:tr>
        <w:tc>
          <w:tcPr>
            <w:tcW w:type="dxa" w:w="1123"/>
            <w:shd w:fill="EAF0F5"/>
            <w:tcBorders>
              <w:top w:val="single" w:sz="5" w:color="C8D2D8"/>
              <w:left w:val="single" w:sz="5" w:color="C8D2D8"/>
              <w:bottom w:val="single" w:sz="5" w:color="C8D2D8"/>
              <w:right w:val="single" w:sz="5" w:color="C8D2D8"/>
            </w:tcBorders>
            <w:vAlign w:val="center"/>
          </w:tcPr>
          <w:p>
            <w:pPr>
              <w:spacing w:after="0" w:line="252" w:lineRule="auto"/>
            </w:pPr>
            <w:r/>
            <w:r>
              <w:rPr>
                <w:rFonts w:ascii="Arial" w:hAnsi="Arial"/>
                <w:b w:val="0"/>
                <w:sz w:val="15"/>
              </w:rPr>
              <w:t>4. Separate obligations</w:t>
            </w:r>
          </w:p>
        </w:tc>
        <w:tc>
          <w:tcPr>
            <w:tcW w:type="dxa" w:w="9461"/>
            <w:shd w:fill="EAF0F5"/>
            <w:tcBorders>
              <w:top w:val="single" w:sz="5" w:color="C8D2D8"/>
              <w:left w:val="single" w:sz="5" w:color="C8D2D8"/>
              <w:bottom w:val="single" w:sz="5" w:color="C8D2D8"/>
              <w:right w:val="single" w:sz="5" w:color="C8D2D8"/>
            </w:tcBorders>
            <w:vAlign w:val="center"/>
          </w:tcPr>
          <w:p>
            <w:pPr>
              <w:spacing w:after="0" w:line="252" w:lineRule="auto"/>
            </w:pPr>
            <w:r/>
            <w:r>
              <w:rPr>
                <w:rFonts w:ascii="Arial" w:hAnsi="Arial"/>
                <w:b w:val="0"/>
                <w:sz w:val="15"/>
              </w:rPr>
              <w:t>Meet the applicable notice deadline and obtain the required client authorization before work is treated as authorized or proceeds.</w:t>
            </w:r>
          </w:p>
        </w:tc>
      </w:tr>
      <w:tr>
        <w:tc>
          <w:tcPr>
            <w:tcW w:type="dxa" w:w="1123"/>
            <w:shd w:fill="FFFFFF"/>
            <w:tcBorders>
              <w:top w:val="single" w:sz="5" w:color="C8D2D8"/>
              <w:left w:val="single" w:sz="5" w:color="C8D2D8"/>
              <w:bottom w:val="single" w:sz="5" w:color="C8D2D8"/>
              <w:right w:val="single" w:sz="5" w:color="C8D2D8"/>
            </w:tcBorders>
            <w:vAlign w:val="center"/>
          </w:tcPr>
          <w:p>
            <w:pPr>
              <w:spacing w:after="0" w:line="252" w:lineRule="auto"/>
            </w:pPr>
            <w:r/>
            <w:r>
              <w:rPr>
                <w:rFonts w:ascii="Arial" w:hAnsi="Arial"/>
                <w:b w:val="0"/>
                <w:sz w:val="15"/>
              </w:rPr>
              <w:t>5. Record / escalate</w:t>
            </w:r>
          </w:p>
        </w:tc>
        <w:tc>
          <w:tcPr>
            <w:tcW w:type="dxa" w:w="9461"/>
            <w:shd w:fill="FFFFFF"/>
            <w:tcBorders>
              <w:top w:val="single" w:sz="5" w:color="C8D2D8"/>
              <w:left w:val="single" w:sz="5" w:color="C8D2D8"/>
              <w:bottom w:val="single" w:sz="5" w:color="C8D2D8"/>
              <w:right w:val="single" w:sz="5" w:color="C8D2D8"/>
            </w:tcBorders>
            <w:vAlign w:val="center"/>
          </w:tcPr>
          <w:p>
            <w:pPr>
              <w:spacing w:after="0" w:line="252" w:lineRule="auto"/>
            </w:pPr>
            <w:r/>
            <w:r>
              <w:rPr>
                <w:rFonts w:ascii="Arial" w:hAnsi="Arial"/>
                <w:b w:val="0"/>
                <w:sz w:val="15"/>
              </w:rPr>
              <w:t>Record the decision and evidence. Escalate to the Finance Partner if outside authority, above the aggregated PM ceiling, outside MSA scope, or ambiguous.</w:t>
            </w:r>
          </w:p>
        </w:tc>
      </w:tr>
    </w:tbl>
    <w:p>
      <w:pPr>
        <w:spacing w:after="0"/>
      </w:pPr>
    </w:p>
    <w:p>
      <w:r>
        <w:br w:type="page"/>
      </w:r>
    </w:p>
    <w:p>
      <w:pPr>
        <w:spacing w:before="140" w:after="60"/>
      </w:pPr>
      <w:r>
        <w:rPr>
          <w:rFonts w:ascii="Arial" w:hAnsi="Arial"/>
          <w:b/>
          <w:color w:val="007F82"/>
          <w:sz w:val="21"/>
        </w:rPr>
        <w:t>3  Client-specific authority and contractual gates</w:t>
      </w:r>
    </w:p>
    <w:tbl>
      <w:tblPr>
        <w:tblStyle w:val="TableGrid"/>
        <w:tblW w:type="auto" w:w="0"/>
        <w:tblLayout w:type="fixed"/>
        <w:tblLook w:firstColumn="1" w:firstRow="1" w:lastColumn="0" w:lastRow="0" w:noHBand="0" w:noVBand="1" w:val="04A0"/>
      </w:tblPr>
      <w:tblGrid>
        <w:gridCol w:w="2685"/>
        <w:gridCol w:w="2685"/>
        <w:gridCol w:w="2685"/>
        <w:gridCol w:w="2685"/>
      </w:tblGrid>
      <w:tr>
        <w:trPr>
          <w:tblHeader w:val="true"/>
        </w:trPr>
        <w:tc>
          <w:tcPr>
            <w:tcW w:type="dxa" w:w="1944"/>
            <w:shd w:fill="17324D"/>
            <w:tcBorders>
              <w:top w:val="single" w:sz="5" w:color="17324D"/>
              <w:left w:val="single" w:sz="5" w:color="17324D"/>
              <w:bottom w:val="single" w:sz="5" w:color="17324D"/>
              <w:right w:val="single" w:sz="5" w:color="17324D"/>
            </w:tcBorders>
            <w:vAlign w:val="center"/>
          </w:tcPr>
          <w:p>
            <w:pPr>
              <w:spacing w:after="0" w:line="252" w:lineRule="auto"/>
            </w:pPr>
            <w:r/>
            <w:r>
              <w:rPr>
                <w:rFonts w:ascii="Arial" w:hAnsi="Arial"/>
                <w:b/>
                <w:color w:val="FFFFFF"/>
                <w:sz w:val="15"/>
              </w:rPr>
              <w:t>Client / current source</w:t>
            </w:r>
          </w:p>
        </w:tc>
        <w:tc>
          <w:tcPr>
            <w:tcW w:type="dxa" w:w="2232"/>
            <w:shd w:fill="17324D"/>
            <w:tcBorders>
              <w:top w:val="single" w:sz="5" w:color="17324D"/>
              <w:left w:val="single" w:sz="5" w:color="17324D"/>
              <w:bottom w:val="single" w:sz="5" w:color="17324D"/>
              <w:right w:val="single" w:sz="5" w:color="17324D"/>
            </w:tcBorders>
            <w:vAlign w:val="center"/>
          </w:tcPr>
          <w:p>
            <w:pPr>
              <w:spacing w:after="0" w:line="252" w:lineRule="auto"/>
            </w:pPr>
            <w:r/>
            <w:r>
              <w:rPr>
                <w:rFonts w:ascii="Arial" w:hAnsi="Arial"/>
                <w:b/>
                <w:color w:val="FFFFFF"/>
                <w:sz w:val="15"/>
              </w:rPr>
              <w:t>PM internal approval ceiling</w:t>
            </w:r>
          </w:p>
        </w:tc>
        <w:tc>
          <w:tcPr>
            <w:tcW w:type="dxa" w:w="3528"/>
            <w:shd w:fill="17324D"/>
            <w:tcBorders>
              <w:top w:val="single" w:sz="5" w:color="17324D"/>
              <w:left w:val="single" w:sz="5" w:color="17324D"/>
              <w:bottom w:val="single" w:sz="5" w:color="17324D"/>
              <w:right w:val="single" w:sz="5" w:color="17324D"/>
            </w:tcBorders>
            <w:vAlign w:val="center"/>
          </w:tcPr>
          <w:p>
            <w:pPr>
              <w:spacing w:after="0" w:line="252" w:lineRule="auto"/>
            </w:pPr>
            <w:r/>
            <w:r>
              <w:rPr>
                <w:rFonts w:ascii="Arial" w:hAnsi="Arial"/>
                <w:b/>
                <w:color w:val="FFFFFF"/>
                <w:sz w:val="15"/>
              </w:rPr>
              <w:t>MSA limit and authorization gate</w:t>
            </w:r>
          </w:p>
        </w:tc>
        <w:tc>
          <w:tcPr>
            <w:tcW w:type="dxa" w:w="2880"/>
            <w:shd w:fill="17324D"/>
            <w:tcBorders>
              <w:top w:val="single" w:sz="5" w:color="17324D"/>
              <w:left w:val="single" w:sz="5" w:color="17324D"/>
              <w:bottom w:val="single" w:sz="5" w:color="17324D"/>
              <w:right w:val="single" w:sz="5" w:color="17324D"/>
            </w:tcBorders>
            <w:vAlign w:val="center"/>
          </w:tcPr>
          <w:p>
            <w:pPr>
              <w:spacing w:after="0" w:line="252" w:lineRule="auto"/>
            </w:pPr>
            <w:r/>
            <w:r>
              <w:rPr>
                <w:rFonts w:ascii="Arial" w:hAnsi="Arial"/>
                <w:b/>
                <w:color w:val="FFFFFF"/>
                <w:sz w:val="15"/>
              </w:rPr>
              <w:t>Notice / escalation</w:t>
            </w:r>
          </w:p>
        </w:tc>
      </w:tr>
      <w:tr>
        <w:tc>
          <w:tcPr>
            <w:tcW w:type="dxa" w:w="1944"/>
            <w:shd w:fill="FFFFFF"/>
            <w:tcBorders>
              <w:top w:val="single" w:sz="5" w:color="C8D2D8"/>
              <w:left w:val="single" w:sz="5" w:color="C8D2D8"/>
              <w:bottom w:val="single" w:sz="5" w:color="C8D2D8"/>
              <w:right w:val="single" w:sz="5" w:color="C8D2D8"/>
            </w:tcBorders>
            <w:vAlign w:val="center"/>
          </w:tcPr>
          <w:p>
            <w:pPr>
              <w:spacing w:after="0" w:line="252" w:lineRule="auto"/>
            </w:pPr>
            <w:r/>
            <w:r>
              <w:rPr>
                <w:rFonts w:ascii="Arial" w:hAnsi="Arial"/>
                <w:b w:val="0"/>
                <w:sz w:val="14"/>
              </w:rPr>
              <w:t>Wexmoor Group</w:t>
              <w:br/>
              <w:t>Current MSA §§4.2, 4.4, 7.1</w:t>
            </w:r>
          </w:p>
        </w:tc>
        <w:tc>
          <w:tcPr>
            <w:tcW w:type="dxa" w:w="2232"/>
            <w:shd w:fill="FFFFFF"/>
            <w:tcBorders>
              <w:top w:val="single" w:sz="5" w:color="C8D2D8"/>
              <w:left w:val="single" w:sz="5" w:color="C8D2D8"/>
              <w:bottom w:val="single" w:sz="5" w:color="C8D2D8"/>
              <w:right w:val="single" w:sz="5" w:color="C8D2D8"/>
            </w:tcBorders>
            <w:vAlign w:val="center"/>
          </w:tcPr>
          <w:p>
            <w:pPr>
              <w:spacing w:after="0" w:line="252" w:lineRule="auto"/>
            </w:pPr>
            <w:r/>
            <w:r>
              <w:rPr>
                <w:rFonts w:ascii="Arial" w:hAnsi="Arial"/>
                <w:b w:val="0"/>
                <w:sz w:val="14"/>
              </w:rPr>
              <w:t>Up to $20,000 per Variation, only if remaining MSA headroom is sufficient.</w:t>
            </w:r>
          </w:p>
        </w:tc>
        <w:tc>
          <w:tcPr>
            <w:tcW w:type="dxa" w:w="3528"/>
            <w:shd w:fill="FFFFFF"/>
            <w:tcBorders>
              <w:top w:val="single" w:sz="5" w:color="C8D2D8"/>
              <w:left w:val="single" w:sz="5" w:color="C8D2D8"/>
              <w:bottom w:val="single" w:sz="5" w:color="C8D2D8"/>
              <w:right w:val="single" w:sz="5" w:color="C8D2D8"/>
            </w:tcBorders>
            <w:vAlign w:val="center"/>
          </w:tcPr>
          <w:p>
            <w:pPr>
              <w:spacing w:after="0" w:line="252" w:lineRule="auto"/>
            </w:pPr>
            <w:r/>
            <w:r>
              <w:rPr>
                <w:rFonts w:ascii="Arial" w:hAnsi="Arial"/>
                <w:b w:val="0"/>
                <w:sz w:val="14"/>
              </w:rPr>
              <w:t>NTE: $150,000. Written client authorization is required before changed work is treated as authorized. Delegation cannot enlarge the NTE.</w:t>
            </w:r>
          </w:p>
        </w:tc>
        <w:tc>
          <w:tcPr>
            <w:tcW w:type="dxa" w:w="2880"/>
            <w:shd w:fill="FFFFFF"/>
            <w:tcBorders>
              <w:top w:val="single" w:sz="5" w:color="C8D2D8"/>
              <w:left w:val="single" w:sz="5" w:color="C8D2D8"/>
              <w:bottom w:val="single" w:sz="5" w:color="C8D2D8"/>
              <w:right w:val="single" w:sz="5" w:color="C8D2D8"/>
            </w:tcBorders>
            <w:vAlign w:val="center"/>
          </w:tcPr>
          <w:p>
            <w:pPr>
              <w:spacing w:after="0" w:line="252" w:lineRule="auto"/>
            </w:pPr>
            <w:r/>
            <w:r>
              <w:rPr>
                <w:rFonts w:ascii="Arial" w:hAnsi="Arial"/>
                <w:b w:val="0"/>
                <w:sz w:val="14"/>
              </w:rPr>
              <w:t>Written potential-claim notice: within 5 business days after PM first becomes aware of the event. Above PM limit: Finance Partner approval and required client change instrument.</w:t>
            </w:r>
          </w:p>
        </w:tc>
      </w:tr>
      <w:tr>
        <w:tc>
          <w:tcPr>
            <w:tcW w:type="dxa" w:w="1944"/>
            <w:shd w:fill="EAF0F5"/>
            <w:tcBorders>
              <w:top w:val="single" w:sz="5" w:color="C8D2D8"/>
              <w:left w:val="single" w:sz="5" w:color="C8D2D8"/>
              <w:bottom w:val="single" w:sz="5" w:color="C8D2D8"/>
              <w:right w:val="single" w:sz="5" w:color="C8D2D8"/>
            </w:tcBorders>
            <w:vAlign w:val="center"/>
          </w:tcPr>
          <w:p>
            <w:pPr>
              <w:spacing w:after="0" w:line="252" w:lineRule="auto"/>
            </w:pPr>
            <w:r/>
            <w:r>
              <w:rPr>
                <w:rFonts w:ascii="Arial" w:hAnsi="Arial"/>
                <w:b w:val="0"/>
                <w:sz w:val="14"/>
              </w:rPr>
              <w:t>Tidewater Logistics</w:t>
              <w:br/>
              <w:t>Current MSA §§3.3, 3.5, 6.2</w:t>
            </w:r>
          </w:p>
        </w:tc>
        <w:tc>
          <w:tcPr>
            <w:tcW w:type="dxa" w:w="2232"/>
            <w:shd w:fill="EAF0F5"/>
            <w:tcBorders>
              <w:top w:val="single" w:sz="5" w:color="C8D2D8"/>
              <w:left w:val="single" w:sz="5" w:color="C8D2D8"/>
              <w:bottom w:val="single" w:sz="5" w:color="C8D2D8"/>
              <w:right w:val="single" w:sz="5" w:color="C8D2D8"/>
            </w:tcBorders>
            <w:vAlign w:val="center"/>
          </w:tcPr>
          <w:p>
            <w:pPr>
              <w:spacing w:after="0" w:line="252" w:lineRule="auto"/>
            </w:pPr>
            <w:r/>
            <w:r>
              <w:rPr>
                <w:rFonts w:ascii="Arial" w:hAnsi="Arial"/>
                <w:b w:val="0"/>
                <w:sz w:val="14"/>
              </w:rPr>
              <w:t>Up to $12,000 per Variation, only if remaining MSA headroom is sufficient.</w:t>
            </w:r>
          </w:p>
        </w:tc>
        <w:tc>
          <w:tcPr>
            <w:tcW w:type="dxa" w:w="3528"/>
            <w:shd w:fill="EAF0F5"/>
            <w:tcBorders>
              <w:top w:val="single" w:sz="5" w:color="C8D2D8"/>
              <w:left w:val="single" w:sz="5" w:color="C8D2D8"/>
              <w:bottom w:val="single" w:sz="5" w:color="C8D2D8"/>
              <w:right w:val="single" w:sz="5" w:color="C8D2D8"/>
            </w:tcBorders>
            <w:vAlign w:val="center"/>
          </w:tcPr>
          <w:p>
            <w:pPr>
              <w:spacing w:after="0" w:line="252" w:lineRule="auto"/>
            </w:pPr>
            <w:r/>
            <w:r>
              <w:rPr>
                <w:rFonts w:ascii="Arial" w:hAnsi="Arial"/>
                <w:b w:val="0"/>
                <w:sz w:val="14"/>
              </w:rPr>
              <w:t>NTE: $90,000. Written change order signed by the designated client representative is required for a scope or price change before work proceeds. Delegation cannot enlarge the NTE.</w:t>
            </w:r>
          </w:p>
        </w:tc>
        <w:tc>
          <w:tcPr>
            <w:tcW w:type="dxa" w:w="2880"/>
            <w:shd w:fill="EAF0F5"/>
            <w:tcBorders>
              <w:top w:val="single" w:sz="5" w:color="C8D2D8"/>
              <w:left w:val="single" w:sz="5" w:color="C8D2D8"/>
              <w:bottom w:val="single" w:sz="5" w:color="C8D2D8"/>
              <w:right w:val="single" w:sz="5" w:color="C8D2D8"/>
            </w:tcBorders>
            <w:vAlign w:val="center"/>
          </w:tcPr>
          <w:p>
            <w:pPr>
              <w:spacing w:after="0" w:line="252" w:lineRule="auto"/>
            </w:pPr>
            <w:r/>
            <w:r>
              <w:rPr>
                <w:rFonts w:ascii="Arial" w:hAnsi="Arial"/>
                <w:b w:val="0"/>
                <w:sz w:val="14"/>
              </w:rPr>
              <w:t>Potential-claim notice: within 3 business days after the event or direction giving rise to it. Above PM limit: Finance Partner approval and signed change order.</w:t>
            </w:r>
          </w:p>
        </w:tc>
      </w:tr>
    </w:tbl>
    <w:p>
      <w:pPr>
        <w:spacing w:after="0"/>
      </w:pPr>
    </w:p>
    <w:p>
      <w:pPr>
        <w:spacing w:before="140" w:after="60"/>
      </w:pPr>
      <w:r>
        <w:rPr>
          <w:rFonts w:ascii="Arial" w:hAnsi="Arial"/>
          <w:b/>
          <w:color w:val="007F82"/>
          <w:sz w:val="21"/>
        </w:rPr>
        <w:t>4  Escalation, uncertain value, and record</w:t>
      </w:r>
    </w:p>
    <w:p>
      <w:pPr>
        <w:spacing w:after="60" w:line="259" w:lineRule="auto"/>
      </w:pPr>
      <w:r>
        <w:rPr>
          <w:rFonts w:ascii="Arial" w:hAnsi="Arial"/>
          <w:b/>
          <w:sz w:val="16"/>
        </w:rPr>
        <w:t>Escalate to the Finance Partner before binding Saltmarsh</w:t>
      </w:r>
      <w:r>
        <w:rPr>
          <w:rFonts w:ascii="Arial" w:hAnsi="Arial"/>
          <w:sz w:val="16"/>
        </w:rPr>
        <w:t xml:space="preserve"> where the aggregated Variation exceeds the Project Manager ceiling, remaining NTE headroom is inadequate, the change is outside scope, the MSA is not confirmed as active, the client authorization or notice requirement is unclear, or any exception is requested.</w:t>
      </w:r>
    </w:p>
    <w:p>
      <w:pPr>
        <w:spacing w:after="60" w:line="259" w:lineRule="auto"/>
      </w:pPr>
      <w:r>
        <w:rPr>
          <w:rFonts w:ascii="Arial" w:hAnsi="Arial"/>
          <w:b/>
          <w:sz w:val="16"/>
        </w:rPr>
        <w:t>If the value is not fully known</w:t>
      </w:r>
      <w:r>
        <w:rPr>
          <w:rFonts w:ascii="Arial" w:hAnsi="Arial"/>
          <w:sz w:val="16"/>
        </w:rPr>
        <w:t>, do not convert uncertainty into approval. Document the supported estimate and its basis; escalate to the Finance Partner when the aggregate could exceed the applicable ceiling or remaining NTE amount.</w:t>
      </w:r>
    </w:p>
    <w:tbl>
      <w:tblPr>
        <w:tblStyle w:val="TableGrid"/>
        <w:tblW w:type="auto" w:w="0"/>
        <w:tblLayout w:type="fixed"/>
        <w:tblLook w:firstColumn="1" w:firstRow="1" w:lastColumn="0" w:lastRow="0" w:noHBand="0" w:noVBand="1" w:val="04A0"/>
      </w:tblPr>
      <w:tblGrid>
        <w:gridCol w:w="5371"/>
        <w:gridCol w:w="5371"/>
      </w:tblGrid>
      <w:tr>
        <w:trPr>
          <w:tblHeader w:val="true"/>
        </w:trPr>
        <w:tc>
          <w:tcPr>
            <w:tcW w:type="dxa" w:w="5328"/>
            <w:shd w:fill="17324D"/>
            <w:tcBorders>
              <w:top w:val="single" w:sz="5" w:color="17324D"/>
              <w:left w:val="single" w:sz="5" w:color="17324D"/>
              <w:bottom w:val="single" w:sz="5" w:color="17324D"/>
              <w:right w:val="single" w:sz="5" w:color="17324D"/>
            </w:tcBorders>
            <w:vAlign w:val="center"/>
          </w:tcPr>
          <w:p>
            <w:pPr>
              <w:spacing w:after="0" w:line="252" w:lineRule="auto"/>
            </w:pPr>
            <w:r/>
            <w:r>
              <w:rPr>
                <w:rFonts w:ascii="Arial" w:hAnsi="Arial"/>
                <w:b/>
                <w:color w:val="FFFFFF"/>
                <w:sz w:val="15"/>
              </w:rPr>
              <w:t>Minimum contemporaneous record</w:t>
            </w:r>
          </w:p>
        </w:tc>
        <w:tc>
          <w:tcPr>
            <w:tcW w:type="dxa" w:w="5256"/>
            <w:shd w:fill="17324D"/>
            <w:tcBorders>
              <w:top w:val="single" w:sz="5" w:color="17324D"/>
              <w:left w:val="single" w:sz="5" w:color="17324D"/>
              <w:bottom w:val="single" w:sz="5" w:color="17324D"/>
              <w:right w:val="single" w:sz="5" w:color="17324D"/>
            </w:tcBorders>
            <w:vAlign w:val="center"/>
          </w:tcPr>
          <w:p>
            <w:pPr>
              <w:spacing w:after="0" w:line="252" w:lineRule="auto"/>
            </w:pPr>
            <w:r/>
            <w:r>
              <w:rPr>
                <w:rFonts w:ascii="Arial" w:hAnsi="Arial"/>
                <w:b/>
                <w:color w:val="FFFFFF"/>
                <w:sz w:val="15"/>
              </w:rPr>
              <w:t>What to retain</w:t>
            </w:r>
          </w:p>
        </w:tc>
      </w:tr>
      <w:tr>
        <w:tc>
          <w:tcPr>
            <w:tcW w:type="dxa" w:w="5328"/>
            <w:shd w:fill="FFFFFF"/>
            <w:tcBorders>
              <w:top w:val="single" w:sz="5" w:color="C8D2D8"/>
              <w:left w:val="single" w:sz="5" w:color="C8D2D8"/>
              <w:bottom w:val="single" w:sz="5" w:color="C8D2D8"/>
              <w:right w:val="single" w:sz="5" w:color="C8D2D8"/>
            </w:tcBorders>
            <w:vAlign w:val="center"/>
          </w:tcPr>
          <w:p>
            <w:pPr>
              <w:spacing w:after="0" w:line="252" w:lineRule="auto"/>
            </w:pPr>
            <w:r/>
            <w:r>
              <w:rPr>
                <w:rFonts w:ascii="Arial" w:hAnsi="Arial"/>
                <w:b w:val="0"/>
                <w:sz w:val="15"/>
              </w:rPr>
              <w:t>Variation description and underlying scope/decision; client; value (or supported estimate); date; applicable current MSA and section; remaining NTE headroom; approver.</w:t>
            </w:r>
          </w:p>
        </w:tc>
        <w:tc>
          <w:tcPr>
            <w:tcW w:type="dxa" w:w="5256"/>
            <w:shd w:fill="FFFFFF"/>
            <w:tcBorders>
              <w:top w:val="single" w:sz="5" w:color="C8D2D8"/>
              <w:left w:val="single" w:sz="5" w:color="C8D2D8"/>
              <w:bottom w:val="single" w:sz="5" w:color="C8D2D8"/>
              <w:right w:val="single" w:sz="5" w:color="C8D2D8"/>
            </w:tcBorders>
            <w:vAlign w:val="center"/>
          </w:tcPr>
          <w:p>
            <w:pPr>
              <w:spacing w:after="0" w:line="252" w:lineRule="auto"/>
            </w:pPr>
            <w:r/>
            <w:r>
              <w:rPr>
                <w:rFonts w:ascii="Arial" w:hAnsi="Arial"/>
                <w:b w:val="0"/>
                <w:sz w:val="15"/>
              </w:rPr>
              <w:t>Client written authorization or signed change order, notice evidence and timing, the authority-decision basis, and every escalation or exception outcome.</w:t>
            </w:r>
          </w:p>
        </w:tc>
      </w:tr>
    </w:tbl>
    <w:p>
      <w:pPr>
        <w:spacing w:after="0"/>
      </w:pPr>
    </w:p>
    <w:p>
      <w:pPr>
        <w:spacing w:before="140" w:after="60"/>
      </w:pPr>
      <w:r>
        <w:rPr>
          <w:rFonts w:ascii="Arial" w:hAnsi="Arial"/>
          <w:b/>
          <w:color w:val="007F82"/>
          <w:sz w:val="21"/>
        </w:rPr>
        <w:t>5  Short worked distinction</w:t>
      </w:r>
    </w:p>
    <w:tbl>
      <w:tblPr>
        <w:tblW w:type="auto" w:w="0"/>
        <w:tblLayout w:type="fixed"/>
        <w:tblLook w:firstColumn="1" w:firstRow="1" w:lastColumn="0" w:lastRow="0" w:noHBand="0" w:noVBand="1" w:val="04A0"/>
      </w:tblPr>
      <w:tblGrid>
        <w:gridCol w:w="10742"/>
      </w:tblGrid>
      <w:tr>
        <w:tc>
          <w:tcPr>
            <w:tcW w:type="dxa" w:w="10742"/>
            <w:shd w:fill="F4E6C2"/>
            <w:tcBorders>
              <w:top w:val="single" w:sz="5" w:color="D3BA76"/>
              <w:left w:val="single" w:sz="5" w:color="D3BA76"/>
              <w:bottom w:val="single" w:sz="5" w:color="D3BA76"/>
              <w:right w:val="single" w:sz="5" w:color="D3BA76"/>
            </w:tcBorders>
          </w:tcPr>
          <w:p>
            <w:pPr>
              <w:spacing w:after="20"/>
            </w:pPr>
            <w:r/>
            <w:r>
              <w:rPr>
                <w:rFonts w:ascii="Arial" w:hAnsi="Arial"/>
                <w:b/>
                <w:color w:val="17324D"/>
                <w:sz w:val="16"/>
              </w:rPr>
              <w:t xml:space="preserve">WEXMOOR ILLUSTRATION. </w:t>
            </w:r>
            <w:r>
              <w:rPr>
                <w:rFonts w:ascii="Arial" w:hAnsi="Arial"/>
                <w:sz w:val="16"/>
              </w:rPr>
              <w:t>A $20,000 Variation may be within the PM internal ceiling only if at least that amount remains under the $150,000 NTE. It still needs written client authorization under §4.4. If it also involves a potential time or cost claim, written notice remains due within 5 business days after awareness under §7.1; internal approval does not change that clock.</w:t>
            </w:r>
          </w:p>
        </w:tc>
      </w:tr>
    </w:tbl>
    <w:p>
      <w:pPr>
        <w:spacing w:after="0"/>
      </w:pPr>
    </w:p>
    <w:sectPr w:rsidR="00FC693F" w:rsidRPr="0006063C" w:rsidSect="00034616">
      <w:footerReference w:type="default" r:id="rId9"/>
      <w:pgSz w:w="12240" w:h="15840"/>
      <w:pgMar w:top="648" w:right="749" w:bottom="648" w:left="749" w:header="288" w:footer="28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5B6770"/>
        <w:sz w:val="13"/>
      </w:rPr>
      <w:t>Saltmarsh Design Partnership  |  Delegated Signature-Authority Schedule  |  Internal governance</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Delegated Signature-Authority Schedule</dc:title>
  <dc:subject>Project manager and finance partner operating schedule</dc:subject>
  <dc:creator>Saltmarsh Design Partnership</dc:creator>
  <cp:keywords/>
  <dc:description>generated by python-docx</dc:description>
  <cp:lastModifiedBy/>
  <cp:revision>1</cp:revision>
  <dcterms:created xsi:type="dcterms:W3CDTF">2013-12-23T23:15:00Z</dcterms:created>
  <dcterms:modified xsi:type="dcterms:W3CDTF">2013-12-23T23:15:00Z</dcterms:modified>
  <cp:category/>
</cp:coreProperties>
</file>