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0"/>
        </w:rPr>
        <w:t>15 August 2025</w:t>
      </w:r>
    </w:p>
    <w:p>
      <w:pPr>
        <w:spacing w:after="20"/>
      </w:pPr>
      <w:r>
        <w:rPr>
          <w:b/>
          <w:sz w:val="20"/>
        </w:rPr>
        <w:t>For the attention of: Owner</w:t>
        <w:br/>
        <w:t>Ravensmoor Freight</w:t>
      </w:r>
    </w:p>
    <w:p>
      <w:pPr>
        <w:spacing w:after="160"/>
      </w:pPr>
      <w:r>
        <w:rPr>
          <w:i/>
          <w:color w:val="5A646E"/>
          <w:sz w:val="17"/>
        </w:rPr>
        <w:t>By reply to the sending email / usual contract correspondence channel</w:t>
      </w:r>
    </w:p>
    <w:p>
      <w:pPr>
        <w:spacing w:after="160"/>
      </w:pPr>
      <w:r>
        <w:rPr>
          <w:b/>
          <w:color w:val="1F4E79"/>
          <w:sz w:val="22"/>
        </w:rPr>
        <w:t>FORMAL NOTICE: TERMINATION OF LIVERY SERVICES AGREEMENT</w:t>
      </w:r>
    </w:p>
    <w:p>
      <w:r>
        <w:t>Dear Owner,</w:t>
      </w:r>
    </w:p>
    <w:p>
      <w:r>
        <w:t>Saltcombe Consortium gives Ravensmoor Freight formal written notice that the livery services agreement signed on 1 January 2025 (the "Agreement") will terminate on 31 August 2025. This notice is issued under the laws and jurisdiction of England and Wales.</w:t>
      </w:r>
    </w:p>
    <w:p>
      <w:r>
        <w:rPr>
          <w:b/>
        </w:rPr>
        <w:t>Service failures</w:t>
      </w:r>
      <w:r/>
    </w:p>
    <w:p>
      <w:r>
        <w:t>Ravensmoor did not attend four booked airport or resident transfers: 14 April 2025, 9 May 2025, 21 June 2025, and 2 August 2025. These are recorded as no-shows. The 21 June failure involved a prospect; that prospect subsequently leased elsewhere. Saltcombe records that sequence as a business outcome, but does not assert that the no-show legally caused the lost lease.</w:t>
      </w:r>
    </w:p>
    <w:p>
      <w:r>
        <w:t>Taken together, four failures across the service period are being treated as repeated material failures. Reliable attendance is the central purpose of these bookings, and the recurrence has materially undermined the service relationship, including the prospect experience and resident service confidence.</w:t>
      </w:r>
    </w:p>
    <w:p>
      <w:r>
        <w:rPr>
          <w:b/>
        </w:rPr>
        <w:t>Contractual basis and finality</w:t>
      </w:r>
      <w:r/>
    </w:p>
    <w:p>
      <w:r>
        <w:t>Under clause 7.1, written notice must describe a material service failure and five business days are allowed to cure where cure is reasonably possible. The service history above has already provided the relevant opportunity to address the attendance failures; this notice does not create a new cure period or a new contractual condition. Clause 9.2 permits termination for repeated material failure after that cure opportunity, and Saltcombe is exercising that route.</w:t>
      </w:r>
    </w:p>
    <w:p>
      <w:r>
        <w:t>The ordinary expectation of a routine notice period is therefore not the operative basis for this decision. The Agreement's repeated-failure route has been engaged, rather than a routine convenience termination. Termination is final and takes effect on 31 August 2025; it is not conditional on Ravensmoor's acknowledgment, agreement, or payment.</w:t>
      </w:r>
    </w:p>
    <w:p>
      <w:r>
        <w:rPr>
          <w:b/>
        </w:rPr>
        <w:t>Upcoming resident events</w:t>
      </w:r>
      <w:r/>
    </w:p>
    <w:p>
      <w:r>
        <w:t>Two resident events remain scheduled for later in August. They are noted here for an accurate record only. This notice does not promise that Ravensmoor will perform either event, does not promise replacement transport, and does not state that either event is cancelled. No additional service commitment is created by this notice.</w:t>
      </w:r>
    </w:p>
    <w:p>
      <w:r>
        <w:rPr>
          <w:b/>
        </w:rPr>
        <w:t>Retainer reconciliation and repayment</w:t>
      </w:r>
      <w:r/>
    </w:p>
    <w:tbl>
      <w:tblPr>
        <w:tblW w:type="auto" w:w="0"/>
        <w:jc w:val="center"/>
        <w:tblLayout w:type="fixed"/>
        <w:tblLook w:firstColumn="1" w:firstRow="1" w:lastColumn="0" w:lastRow="0" w:noHBand="0" w:noVBand="1" w:val="04A0"/>
      </w:tblPr>
      <w:tblGrid>
        <w:gridCol w:w="4464"/>
        <w:gridCol w:w="2016"/>
        <w:gridCol w:w="2160"/>
      </w:tblGrid>
      <w:tr>
        <w:tc>
          <w:tcPr>
            <w:tcW w:type="dxa" w:w="3331"/>
            <w:shd w:fill="D9EAF7"/>
            <w:tcMar>
              <w:top w:w="80" w:type="dxa"/>
              <w:start w:w="100" w:type="dxa"/>
              <w:bottom w:w="80" w:type="dxa"/>
              <w:end w:w="100" w:type="dxa"/>
            </w:tcMar>
          </w:tcPr>
          <w:p>
            <w:r>
              <w:rPr>
                <w:b/>
                <w:color w:val="1F4E79"/>
                <w:sz w:val="17"/>
              </w:rPr>
              <w:t>Unearned period</w:t>
            </w:r>
          </w:p>
        </w:tc>
        <w:tc>
          <w:tcPr>
            <w:tcW w:type="dxa" w:w="3331"/>
            <w:shd w:fill="D9EAF7"/>
            <w:tcMar>
              <w:top w:w="80" w:type="dxa"/>
              <w:start w:w="100" w:type="dxa"/>
              <w:bottom w:w="80" w:type="dxa"/>
              <w:end w:w="100" w:type="dxa"/>
            </w:tcMar>
          </w:tcPr>
          <w:p>
            <w:r>
              <w:rPr>
                <w:b/>
                <w:color w:val="1F4E79"/>
                <w:sz w:val="17"/>
              </w:rPr>
              <w:t>Monthly retainer</w:t>
            </w:r>
          </w:p>
        </w:tc>
        <w:tc>
          <w:tcPr>
            <w:tcW w:type="dxa" w:w="3331"/>
            <w:shd w:fill="D9EAF7"/>
            <w:tcMar>
              <w:top w:w="80" w:type="dxa"/>
              <w:start w:w="100" w:type="dxa"/>
              <w:bottom w:w="80" w:type="dxa"/>
              <w:end w:w="100" w:type="dxa"/>
            </w:tcMar>
          </w:tcPr>
          <w:p>
            <w:r>
              <w:rPr>
                <w:b/>
                <w:color w:val="1F4E79"/>
                <w:sz w:val="17"/>
              </w:rPr>
              <w:t>Amount prepaid</w:t>
            </w:r>
          </w:p>
        </w:tc>
      </w:tr>
      <w:tr>
        <w:tc>
          <w:tcPr>
            <w:tcW w:type="dxa" w:w="4464"/>
            <w:tcMar>
              <w:top w:w="80" w:type="dxa"/>
              <w:start w:w="100" w:type="dxa"/>
              <w:bottom w:w="80" w:type="dxa"/>
              <w:end w:w="100" w:type="dxa"/>
            </w:tcMar>
          </w:tcPr>
          <w:p>
            <w:r>
              <w:rPr>
                <w:sz w:val="17"/>
              </w:rPr>
              <w:t>September 2025</w:t>
            </w:r>
          </w:p>
        </w:tc>
        <w:tc>
          <w:tcPr>
            <w:tcW w:type="dxa" w:w="2016"/>
            <w:tcMar>
              <w:top w:w="80" w:type="dxa"/>
              <w:start w:w="100" w:type="dxa"/>
              <w:bottom w:w="80" w:type="dxa"/>
              <w:end w:w="100" w:type="dxa"/>
            </w:tcMar>
          </w:tcPr>
          <w:p>
            <w:r>
              <w:rPr>
                <w:sz w:val="17"/>
              </w:rPr>
              <w:t>£4,800</w:t>
            </w:r>
          </w:p>
        </w:tc>
        <w:tc>
          <w:tcPr>
            <w:tcW w:type="dxa" w:w="2160"/>
            <w:tcMar>
              <w:top w:w="80" w:type="dxa"/>
              <w:start w:w="100" w:type="dxa"/>
              <w:bottom w:w="80" w:type="dxa"/>
              <w:end w:w="100" w:type="dxa"/>
            </w:tcMar>
          </w:tcPr>
          <w:p>
            <w:r>
              <w:rPr>
                <w:sz w:val="17"/>
              </w:rPr>
              <w:t>£4,800</w:t>
            </w:r>
          </w:p>
        </w:tc>
      </w:tr>
      <w:tr>
        <w:tc>
          <w:tcPr>
            <w:tcW w:type="dxa" w:w="4464"/>
            <w:tcMar>
              <w:top w:w="80" w:type="dxa"/>
              <w:start w:w="100" w:type="dxa"/>
              <w:bottom w:w="80" w:type="dxa"/>
              <w:end w:w="100" w:type="dxa"/>
            </w:tcMar>
          </w:tcPr>
          <w:p>
            <w:r>
              <w:rPr>
                <w:sz w:val="17"/>
              </w:rPr>
              <w:t>October 2025</w:t>
            </w:r>
          </w:p>
        </w:tc>
        <w:tc>
          <w:tcPr>
            <w:tcW w:type="dxa" w:w="2016"/>
            <w:tcMar>
              <w:top w:w="80" w:type="dxa"/>
              <w:start w:w="100" w:type="dxa"/>
              <w:bottom w:w="80" w:type="dxa"/>
              <w:end w:w="100" w:type="dxa"/>
            </w:tcMar>
          </w:tcPr>
          <w:p>
            <w:r>
              <w:rPr>
                <w:sz w:val="17"/>
              </w:rPr>
              <w:t>£4,800</w:t>
            </w:r>
          </w:p>
        </w:tc>
        <w:tc>
          <w:tcPr>
            <w:tcW w:type="dxa" w:w="2160"/>
            <w:tcMar>
              <w:top w:w="80" w:type="dxa"/>
              <w:start w:w="100" w:type="dxa"/>
              <w:bottom w:w="80" w:type="dxa"/>
              <w:end w:w="100" w:type="dxa"/>
            </w:tcMar>
          </w:tcPr>
          <w:p>
            <w:r>
              <w:rPr>
                <w:sz w:val="17"/>
              </w:rPr>
              <w:t>£4,800</w:t>
            </w:r>
          </w:p>
        </w:tc>
      </w:tr>
      <w:tr>
        <w:tc>
          <w:tcPr>
            <w:tcW w:type="dxa" w:w="4464"/>
            <w:tcMar>
              <w:top w:w="80" w:type="dxa"/>
              <w:start w:w="100" w:type="dxa"/>
              <w:bottom w:w="80" w:type="dxa"/>
              <w:end w:w="100" w:type="dxa"/>
            </w:tcMar>
          </w:tcPr>
          <w:p>
            <w:r>
              <w:rPr>
                <w:sz w:val="17"/>
              </w:rPr>
              <w:t>November 2025</w:t>
            </w:r>
          </w:p>
        </w:tc>
        <w:tc>
          <w:tcPr>
            <w:tcW w:type="dxa" w:w="2016"/>
            <w:tcMar>
              <w:top w:w="80" w:type="dxa"/>
              <w:start w:w="100" w:type="dxa"/>
              <w:bottom w:w="80" w:type="dxa"/>
              <w:end w:w="100" w:type="dxa"/>
            </w:tcMar>
          </w:tcPr>
          <w:p>
            <w:r>
              <w:rPr>
                <w:sz w:val="17"/>
              </w:rPr>
              <w:t>£4,800</w:t>
            </w:r>
          </w:p>
        </w:tc>
        <w:tc>
          <w:tcPr>
            <w:tcW w:type="dxa" w:w="2160"/>
            <w:tcMar>
              <w:top w:w="80" w:type="dxa"/>
              <w:start w:w="100" w:type="dxa"/>
              <w:bottom w:w="80" w:type="dxa"/>
              <w:end w:w="100" w:type="dxa"/>
            </w:tcMar>
          </w:tcPr>
          <w:p>
            <w:r>
              <w:rPr>
                <w:sz w:val="17"/>
              </w:rPr>
              <w:t>£4,800</w:t>
            </w:r>
          </w:p>
        </w:tc>
      </w:tr>
      <w:tr>
        <w:tc>
          <w:tcPr>
            <w:tcW w:type="dxa" w:w="4464"/>
            <w:tcMar>
              <w:top w:w="80" w:type="dxa"/>
              <w:start w:w="100" w:type="dxa"/>
              <w:bottom w:w="80" w:type="dxa"/>
              <w:end w:w="100" w:type="dxa"/>
            </w:tcMar>
          </w:tcPr>
          <w:p>
            <w:r>
              <w:rPr>
                <w:sz w:val="17"/>
              </w:rPr>
              <w:t>December 2025</w:t>
            </w:r>
          </w:p>
        </w:tc>
        <w:tc>
          <w:tcPr>
            <w:tcW w:type="dxa" w:w="2016"/>
            <w:tcMar>
              <w:top w:w="80" w:type="dxa"/>
              <w:start w:w="100" w:type="dxa"/>
              <w:bottom w:w="80" w:type="dxa"/>
              <w:end w:w="100" w:type="dxa"/>
            </w:tcMar>
          </w:tcPr>
          <w:p>
            <w:r>
              <w:rPr>
                <w:sz w:val="17"/>
              </w:rPr>
              <w:t>£4,800</w:t>
            </w:r>
          </w:p>
        </w:tc>
        <w:tc>
          <w:tcPr>
            <w:tcW w:type="dxa" w:w="2160"/>
            <w:tcMar>
              <w:top w:w="80" w:type="dxa"/>
              <w:start w:w="100" w:type="dxa"/>
              <w:bottom w:w="80" w:type="dxa"/>
              <w:end w:w="100" w:type="dxa"/>
            </w:tcMar>
          </w:tcPr>
          <w:p>
            <w:r>
              <w:rPr>
                <w:sz w:val="17"/>
              </w:rPr>
              <w:t>£4,800</w:t>
            </w:r>
          </w:p>
        </w:tc>
      </w:tr>
      <w:tr>
        <w:tc>
          <w:tcPr>
            <w:tcW w:type="dxa" w:w="4464"/>
            <w:shd w:fill="EEF4F8"/>
            <w:tcMar>
              <w:top w:w="80" w:type="dxa"/>
              <w:start w:w="100" w:type="dxa"/>
              <w:bottom w:w="80" w:type="dxa"/>
              <w:end w:w="100" w:type="dxa"/>
            </w:tcMar>
          </w:tcPr>
          <w:p>
            <w:r>
              <w:rPr>
                <w:b/>
                <w:sz w:val="17"/>
              </w:rPr>
              <w:t>Total repayment sought</w:t>
            </w:r>
          </w:p>
        </w:tc>
        <w:tc>
          <w:tcPr>
            <w:tcW w:type="dxa" w:w="2016"/>
            <w:shd w:fill="EEF4F8"/>
            <w:tcMar>
              <w:top w:w="80" w:type="dxa"/>
              <w:start w:w="100" w:type="dxa"/>
              <w:bottom w:w="80" w:type="dxa"/>
              <w:end w:w="100" w:type="dxa"/>
            </w:tcMar>
          </w:tcPr>
          <w:p>
            <w:r>
              <w:rPr>
                <w:b/>
                <w:sz w:val="17"/>
              </w:rPr>
              <w:t>£4,800 × 4</w:t>
            </w:r>
          </w:p>
        </w:tc>
        <w:tc>
          <w:tcPr>
            <w:tcW w:type="dxa" w:w="2160"/>
            <w:shd w:fill="EEF4F8"/>
            <w:tcMar>
              <w:top w:w="80" w:type="dxa"/>
              <w:start w:w="100" w:type="dxa"/>
              <w:bottom w:w="80" w:type="dxa"/>
              <w:end w:w="100" w:type="dxa"/>
            </w:tcMar>
          </w:tcPr>
          <w:p>
            <w:r>
              <w:rPr>
                <w:b/>
                <w:sz w:val="17"/>
              </w:rPr>
              <w:t>£19,200</w:t>
            </w:r>
          </w:p>
        </w:tc>
      </w:tr>
    </w:tbl>
    <w:p>
      <w:r>
        <w:t>Saltcombe paid the £4,800 monthly retainer through 31 December 2025. Under clause 10.4, the prepaid fees for services not delivered after termination must be reconciled and repaid. The unearned period is September through December 2025: £4,800 per month × 4 months = £19,200. Saltcombe therefore demands repayment of £19,200 as prepaid and unearned after termination, not as a discretionary refund.</w:t>
      </w:r>
    </w:p>
    <w:p>
      <w:r>
        <w:t>Please acknowledge receipt by replying to the sending email and identify any specific factual dispute, if applicable. Acknowledgment is requested for the record and is not a condition of termination.</w:t>
      </w:r>
    </w:p>
    <w:p>
      <w:r>
        <w:t>Accordingly, the Agreement terminates on 31 August 2025 under clause 9.2, and £19,200 is due to Saltcombe Consortium under clause 10.4 for the four unearned prepaid months.</w:t>
      </w:r>
    </w:p>
    <w:p>
      <w:pPr>
        <w:spacing w:before="160"/>
      </w:pPr>
      <w:r>
        <w:rPr>
          <w:b/>
        </w:rPr>
        <w:t>Yours faithfully,</w:t>
      </w:r>
    </w:p>
    <w:p>
      <w:pPr>
        <w:spacing w:after="0"/>
      </w:pPr>
      <w:r>
        <w:rPr>
          <w:b/>
          <w:color w:val="1F4E79"/>
        </w:rPr>
        <w:t>Tamsin Kilgore</w:t>
      </w:r>
    </w:p>
    <w:p>
      <w:pPr>
        <w:spacing w:after="0"/>
      </w:pPr>
      <w:r>
        <w:t>Enterprise Concierge Lead</w:t>
        <w:br/>
        <w:t>For Saltcombe Consortium</w:t>
      </w:r>
    </w:p>
    <w:sectPr w:rsidR="00FC693F" w:rsidRPr="0006063C" w:rsidSect="00034616">
      <w:headerReference w:type="default" r:id="rId9"/>
      <w:footerReference w:type="default" r:id="rId10"/>
      <w:pgSz w:w="12240" w:h="15840"/>
      <w:pgMar w:top="720" w:right="1123" w:bottom="72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Saltcombe Consortium  |  Formal vendor notice  |  15 August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F4E79"/>
        <w:sz w:val="18"/>
      </w:rPr>
      <w:t>SALTCOMBE CONSORTIUM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0" w:lineRule="auto"/>
    </w:pPr>
    <w:rPr>
      <w:rFonts w:ascii="Arial" w:hAnsi="Arial" w:eastAsia="Arial"/>
      <w:color w:val="232D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