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6"/>
        </w:rPr>
        <w:t>KILNBROOK FREIGHT LTD.</w:t>
      </w:r>
    </w:p>
    <w:p>
      <w:pPr>
        <w:spacing w:after="200"/>
      </w:pPr>
      <w:r>
        <w:rPr>
          <w:rFonts w:ascii="Arial" w:hAnsi="Arial"/>
          <w:b w:val="0"/>
          <w:sz w:val="18"/>
        </w:rPr>
        <w:t>Claims &amp; Licensing | 18 Wharf Exchange, London E16 2QJ</w:t>
      </w:r>
    </w:p>
    <w:p>
      <w:pPr>
        <w:spacing w:after="160"/>
      </w:pPr>
      <w:r>
        <w:rPr>
          <w:rFonts w:ascii="Arial" w:hAnsi="Arial"/>
          <w:b w:val="0"/>
          <w:sz w:val="21"/>
        </w:rPr>
        <w:t>18 August 2026</w:t>
      </w:r>
    </w:p>
    <w:p>
      <w:pPr>
        <w:spacing w:after="40"/>
      </w:pPr>
      <w:r>
        <w:rPr>
          <w:rFonts w:ascii="Arial" w:hAnsi="Arial"/>
          <w:b w:val="0"/>
          <w:sz w:val="21"/>
        </w:rPr>
        <w:t>By email: legal@blackmarshregional.example</w:t>
      </w:r>
    </w:p>
    <w:p>
      <w:pPr>
        <w:spacing w:after="160"/>
      </w:pPr>
      <w:r>
        <w:rPr>
          <w:rFonts w:ascii="Arial" w:hAnsi="Arial"/>
          <w:b w:val="0"/>
          <w:sz w:val="21"/>
        </w:rPr>
        <w:t>Petra Havlicek</w:t>
        <w:br/>
        <w:t>Blackmarsh Regional Office</w:t>
        <w:br/>
        <w:t>14 Lattice Yard</w:t>
        <w:br/>
        <w:t>London E1 6AB</w:t>
      </w:r>
    </w:p>
    <w:p>
      <w:pPr>
        <w:spacing w:after="160"/>
      </w:pPr>
      <w:r>
        <w:rPr>
          <w:rFonts w:ascii="Arial" w:hAnsi="Arial"/>
          <w:b/>
          <w:sz w:val="21"/>
        </w:rPr>
        <w:t>Re: Claim KIL-2026-014 — “Night Freight: Kilnbrook Junction” (episode BRO-07)</w:t>
      </w:r>
    </w:p>
    <w:p>
      <w:pPr>
        <w:spacing w:after="80"/>
      </w:pPr>
      <w:r>
        <w:rPr>
          <w:rFonts w:ascii="Arial" w:hAnsi="Arial"/>
          <w:b w:val="0"/>
          <w:sz w:val="21"/>
        </w:rPr>
        <w:t>Dear Ms Havlicek,</w:t>
      </w:r>
    </w:p>
    <w:p>
      <w:pPr>
        <w:spacing w:after="120"/>
      </w:pPr>
      <w:r>
        <w:rPr>
          <w:rFonts w:ascii="Arial" w:hAnsi="Arial"/>
          <w:b w:val="0"/>
          <w:sz w:val="21"/>
        </w:rPr>
        <w:t>Kilnbrook Freight Ltd. asserts that the published episode identified above includes 75.00 seconds of Kilnbrook-owned preview footage, listed in the schedule below. We request £18,500 for the asserted unlicensed use and ask for a response by 28 August 2026.</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Claim segment</w:t>
            </w:r>
          </w:p>
        </w:tc>
        <w:tc>
          <w:tcPr>
            <w:tcW w:type="dxa" w:w="2448"/>
          </w:tcPr>
          <w:p>
            <w:r>
              <w:t>Episode timecode</w:t>
            </w:r>
          </w:p>
        </w:tc>
        <w:tc>
          <w:tcPr>
            <w:tcW w:type="dxa" w:w="2448"/>
          </w:tcPr>
          <w:p>
            <w:r>
              <w:t>Duration</w:t>
            </w:r>
          </w:p>
        </w:tc>
        <w:tc>
          <w:tcPr>
            <w:tcW w:type="dxa" w:w="2448"/>
          </w:tcPr>
          <w:p>
            <w:r>
              <w:t>Claimant description</w:t>
            </w:r>
          </w:p>
        </w:tc>
      </w:tr>
      <w:tr>
        <w:tc>
          <w:tcPr>
            <w:tcW w:type="dxa" w:w="2448"/>
          </w:tcPr>
          <w:p>
            <w:r>
              <w:t>KF-01</w:t>
            </w:r>
          </w:p>
        </w:tc>
        <w:tc>
          <w:tcPr>
            <w:tcW w:type="dxa" w:w="2448"/>
          </w:tcPr>
          <w:p>
            <w:r>
              <w:t>00:10:00–00:10:12</w:t>
            </w:r>
          </w:p>
        </w:tc>
        <w:tc>
          <w:tcPr>
            <w:tcW w:type="dxa" w:w="2448"/>
          </w:tcPr>
          <w:p>
            <w:r>
              <w:t>12.00 s</w:t>
            </w:r>
          </w:p>
        </w:tc>
        <w:tc>
          <w:tcPr>
            <w:tcW w:type="dxa" w:w="2448"/>
          </w:tcPr>
          <w:p>
            <w:r>
              <w:t>Kilnbrook yard preview</w:t>
            </w:r>
          </w:p>
        </w:tc>
      </w:tr>
      <w:tr>
        <w:tc>
          <w:tcPr>
            <w:tcW w:type="dxa" w:w="2448"/>
          </w:tcPr>
          <w:p>
            <w:r>
              <w:t>KF-02</w:t>
            </w:r>
          </w:p>
        </w:tc>
        <w:tc>
          <w:tcPr>
            <w:tcW w:type="dxa" w:w="2448"/>
          </w:tcPr>
          <w:p>
            <w:r>
              <w:t>00:12:00–00:12:20</w:t>
            </w:r>
          </w:p>
        </w:tc>
        <w:tc>
          <w:tcPr>
            <w:tcW w:type="dxa" w:w="2448"/>
          </w:tcPr>
          <w:p>
            <w:r>
              <w:t>20.00 s</w:t>
            </w:r>
          </w:p>
        </w:tc>
        <w:tc>
          <w:tcPr>
            <w:tcW w:type="dxa" w:w="2448"/>
          </w:tcPr>
          <w:p>
            <w:r>
              <w:t>Freight loading preview</w:t>
            </w:r>
          </w:p>
        </w:tc>
      </w:tr>
      <w:tr>
        <w:tc>
          <w:tcPr>
            <w:tcW w:type="dxa" w:w="2448"/>
          </w:tcPr>
          <w:p>
            <w:r>
              <w:t>KF-03</w:t>
            </w:r>
          </w:p>
        </w:tc>
        <w:tc>
          <w:tcPr>
            <w:tcW w:type="dxa" w:w="2448"/>
          </w:tcPr>
          <w:p>
            <w:r>
              <w:t>00:15:00–00:15:18</w:t>
            </w:r>
          </w:p>
        </w:tc>
        <w:tc>
          <w:tcPr>
            <w:tcW w:type="dxa" w:w="2448"/>
          </w:tcPr>
          <w:p>
            <w:r>
              <w:t>18.00 s</w:t>
            </w:r>
          </w:p>
        </w:tc>
        <w:tc>
          <w:tcPr>
            <w:tcW w:type="dxa" w:w="2448"/>
          </w:tcPr>
          <w:p>
            <w:r>
              <w:t>Interview quotation</w:t>
            </w:r>
          </w:p>
        </w:tc>
      </w:tr>
      <w:tr>
        <w:tc>
          <w:tcPr>
            <w:tcW w:type="dxa" w:w="2448"/>
          </w:tcPr>
          <w:p>
            <w:r>
              <w:t>KF-04</w:t>
            </w:r>
          </w:p>
        </w:tc>
        <w:tc>
          <w:tcPr>
            <w:tcW w:type="dxa" w:w="2448"/>
          </w:tcPr>
          <w:p>
            <w:r>
              <w:t>00:20:00–00:20:15</w:t>
            </w:r>
          </w:p>
        </w:tc>
        <w:tc>
          <w:tcPr>
            <w:tcW w:type="dxa" w:w="2448"/>
          </w:tcPr>
          <w:p>
            <w:r>
              <w:t>15.00 s</w:t>
            </w:r>
          </w:p>
        </w:tc>
        <w:tc>
          <w:tcPr>
            <w:tcW w:type="dxa" w:w="2448"/>
          </w:tcPr>
          <w:p>
            <w:r>
              <w:t>Night-shift preview</w:t>
            </w:r>
          </w:p>
        </w:tc>
      </w:tr>
      <w:tr>
        <w:tc>
          <w:tcPr>
            <w:tcW w:type="dxa" w:w="2448"/>
          </w:tcPr>
          <w:p>
            <w:r>
              <w:t>KF-05</w:t>
            </w:r>
          </w:p>
        </w:tc>
        <w:tc>
          <w:tcPr>
            <w:tcW w:type="dxa" w:w="2448"/>
          </w:tcPr>
          <w:p>
            <w:r>
              <w:t>00:25:00–00:25:10</w:t>
            </w:r>
          </w:p>
        </w:tc>
        <w:tc>
          <w:tcPr>
            <w:tcW w:type="dxa" w:w="2448"/>
          </w:tcPr>
          <w:p>
            <w:r>
              <w:t>10.00 s</w:t>
            </w:r>
          </w:p>
        </w:tc>
        <w:tc>
          <w:tcPr>
            <w:tcW w:type="dxa" w:w="2448"/>
          </w:tcPr>
          <w:p>
            <w:r>
              <w:t>Archive yard view</w:t>
            </w:r>
          </w:p>
        </w:tc>
      </w:tr>
    </w:tbl>
    <w:p>
      <w:pPr>
        <w:spacing w:after="80"/>
      </w:pPr>
      <w:r>
        <w:rPr>
          <w:rFonts w:ascii="Arial" w:hAnsi="Arial"/>
          <w:b w:val="0"/>
          <w:sz w:val="21"/>
        </w:rPr>
        <w:t>The company maintains that the material is protected by its rights and is not covered by any licence granted to Blackmarsh. The requested amount is stated as compensation for the complete 75.00 seconds.</w:t>
      </w:r>
    </w:p>
    <w:p>
      <w:pPr>
        <w:spacing w:after="0"/>
      </w:pPr>
      <w:r>
        <w:rPr>
          <w:rFonts w:ascii="Arial" w:hAnsi="Arial"/>
          <w:b w:val="0"/>
          <w:sz w:val="21"/>
        </w:rPr>
        <w:t>Yours faithfully,</w:t>
        <w:br/>
        <w:t>Marta Sokolov</w:t>
        <w:br/>
        <w:t>Claims Manager</w:t>
        <w:br/>
        <w:t>Kilnbrook Freight Ltd.</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