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 w:eastAsia="Arial"/>
          <w:b/>
          <w:color w:val="17324D"/>
          <w:sz w:val="30"/>
        </w:rPr>
        <w:t>Cavendish Engineering's Patient-Referral Handling Review</w:t>
      </w:r>
    </w:p>
    <w:p>
      <w:pPr>
        <w:spacing w:after="100"/>
      </w:pPr>
      <w:r>
        <w:rPr>
          <w:rFonts w:ascii="Arial" w:hAnsi="Arial"/>
          <w:color w:val="66727D"/>
          <w:sz w:val="17"/>
        </w:rPr>
        <w:t>Compliance assessment for Genevieve Lindqvist's publication approval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5176"/>
      </w:tblGrid>
      <w:tr>
        <w:tc>
          <w:tcPr>
            <w:tcW w:type="dxa" w:w="1699"/>
            <w:shd w:fill="EAF1F5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315D7C"/>
              <w:left w:val="single" w:sz="6" w:color="315D7C"/>
              <w:bottom w:val="single" w:sz="6" w:color="315D7C"/>
              <w:right w:val="single" w:sz="6" w:color="315D7C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6"/>
              </w:rPr>
              <w:t>DECISION</w:t>
            </w:r>
          </w:p>
        </w:tc>
        <w:tc>
          <w:tcPr>
            <w:tcW w:type="dxa" w:w="8640"/>
            <w:shd w:fill="EAF1F5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315D7C"/>
              <w:left w:val="single" w:sz="6" w:color="315D7C"/>
              <w:bottom w:val="single" w:sz="6" w:color="315D7C"/>
              <w:right w:val="single" w:sz="6" w:color="315D7C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B2730"/>
                <w:sz w:val="16"/>
              </w:rPr>
              <w:t>Approve publication only as a limited, de-identified, evidence-qualified assessment of 16 of 32 records. It must disclose the mandatory sequence exception and unresolved evidence; it cannot state that all referrals complied.</w:t>
            </w:r>
          </w:p>
        </w:tc>
      </w:tr>
    </w:tbl>
    <w:p>
      <w:pPr>
        <w:keepNext/>
        <w:spacing w:before="100" w:after="40"/>
      </w:pPr>
      <w:r>
        <w:rPr>
          <w:rFonts w:ascii="Arial" w:hAnsi="Arial" w:eastAsia="Arial"/>
          <w:b/>
          <w:color w:val="17324D"/>
          <w:sz w:val="18"/>
        </w:rPr>
        <w:t>Purpose, evidence and review boundary</w:t>
      </w:r>
    </w:p>
    <w:p>
      <w:pPr>
        <w:spacing w:before="0" w:after="44"/>
      </w:pPr>
      <w:r>
        <w:t>This assessment helps Genevieve Lindqvist decide whether Cavendish Engineering's patient-referral handling review may be published for a broad audience. The sole evidence base is the supplied control-and-records packet (cavendish_referral_controls_and_records.pdf), covering 01 Apr 2026 to 30 Jun 2026 and evidence available at 30 Jun 2026, 17:00 local (pp. 1-2; p. 8).</w:t>
      </w:r>
    </w:p>
    <w:p>
      <w:pPr>
        <w:spacing w:before="0" w:after="44"/>
      </w:pPr>
      <w:r>
        <w:t>The labels are used as the packet defines them: compliant means direct support for the applicable mandatory control; not established means the required fact is missing or cannot be verified; noncompliant means direct contrary evidence. These are record-evidence findings under the internal standard, not clinical or legal conclusions.</w:t>
      </w:r>
    </w:p>
    <w:p>
      <w:pPr>
        <w:spacing w:before="0" w:after="60"/>
      </w:pPr>
      <w:r>
        <w:t>Friday's deadline did not permit a case-by-case review of all 32 rows. The fallback was a purposive, risk-directed cohort of 16 rows: 4 external Closed, 4 external Pending receipt, 4 Internal (2 closed and 2 open), and 4 Returned. It covers each workflow, both external-disclosure and no-disclosure paths, all status groups, routine evidence, missing evidence, and the directly contrary sequence. This is proportionate for a publication decision under time pressure, but it leaves 16 rows unreviewed (4 in each workflow group); it is not a population-wide compliance test.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7324D"/>
          <w:sz w:val="18"/>
        </w:rPr>
        <w:t>Mandatory-control findings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771"/>
            <w:shd w:fill="17324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7517"/>
            <w:shd w:fill="17324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Finding in the reviewed cohort</w:t>
            </w:r>
          </w:p>
        </w:tc>
        <w:tc>
          <w:tcPr>
            <w:tcW w:type="dxa" w:w="1051"/>
            <w:shd w:fill="17324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Source</w:t>
            </w:r>
          </w:p>
        </w:tc>
      </w:tr>
      <w:tr>
        <w:trPr>
          <w:cantSplit/>
        </w:trPr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4"/>
              </w:rPr>
              <w:t>IC-1</w:t>
              <w:br/>
              <w:t>Intake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4"/>
              </w:rPr>
              <w:t>14 of 16 directly support all five required intake elements (key, received date, referring source, requested service and destination). 2 are not established: R-03 lacks the referring source and R-14 lacks the destination. Missing evidence is not recorded as a proven breach.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27D"/>
                <w:sz w:val="13"/>
              </w:rPr>
              <w:t>pp. 2, 4-5</w:t>
            </w:r>
          </w:p>
        </w:tc>
      </w:tr>
      <w:tr>
        <w:trPr>
          <w:cantSplit/>
        </w:trPr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  <w:shd w:fill="F3F5F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4"/>
              </w:rPr>
              <w:t>IC-2</w:t>
              <w:br/>
              <w:t>Basis before external disclosure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  <w:shd w:fill="F3F5F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4"/>
              </w:rPr>
              <w:t>Applies to 8 reviewed external transfers: 6 compliant; 1 not established (R-11, no documented basis in the packet); and 1 noncompliant. R-05 records an external send at 10:14 before authorization at 10:27; a later entry does not meet the before-disclosure control.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  <w:shd w:fill="F3F5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27D"/>
                <w:sz w:val="13"/>
              </w:rPr>
              <w:t>pp. 2, 4-5</w:t>
            </w:r>
          </w:p>
        </w:tc>
      </w:tr>
      <w:tr>
        <w:trPr>
          <w:cantSplit/>
        </w:trPr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4"/>
              </w:rPr>
              <w:t>IC-3</w:t>
              <w:br/>
              <w:t>Routing and receipt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4"/>
              </w:rPr>
              <w:t>Applies to 12 rows: 10 compliant and 2 not established (R-07, R-14: receipt confirmation absent for a Closed external transfer; destination absent for a Pending transfer). The 4 Returned rows had no transfer and are not applicable. Pending receipt is not itself missing confirmation at the cut-off when destination, status and owner are recorded.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27D"/>
                <w:sz w:val="13"/>
              </w:rPr>
              <w:t>pp. 2, 4-7</w:t>
            </w:r>
          </w:p>
        </w:tc>
      </w:tr>
      <w:tr>
        <w:trPr>
          <w:cantSplit/>
        </w:trPr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  <w:shd w:fill="F3F5F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4"/>
              </w:rPr>
              <w:t>IC-4</w:t>
              <w:br/>
              <w:t>External log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  <w:shd w:fill="F3F5F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4"/>
              </w:rPr>
              <w:t>Applies to 8 reviewed external transfers: 7 compliant and 1 not established (R-12, applicable log extract unavailable). The 8 Internal or Returned rows had no external disclosure, so no log is inferred or required for them.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  <w:shd w:fill="F3F5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27D"/>
                <w:sz w:val="13"/>
              </w:rPr>
              <w:t>pp. 2, 5-7</w:t>
            </w:r>
          </w:p>
        </w:tc>
      </w:tr>
      <w:tr>
        <w:trPr>
          <w:cantSplit/>
        </w:trPr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4"/>
              </w:rPr>
              <w:t>IC-5</w:t>
              <w:br/>
              <w:t>Closure / current disposition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4"/>
              </w:rPr>
              <w:t>14 of 16 are directly supported: Closed/Returned rows show outcome, date and role, or Open/Pending rows show current status and accountable role. 2 are not established: R-21 is Open but has no accountable role; R-27 has outcome and role but no closure date. An open referral is not treated as lacking a completed closure merely because it is open.</w:t>
            </w:r>
          </w:p>
        </w:tc>
        <w:tc>
          <w:tcPr>
            <w:tcW w:type="dxa" w:w="3451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66727D"/>
                <w:sz w:val="13"/>
              </w:rPr>
              <w:t>pp. 2, 5-7</w:t>
            </w:r>
          </w:p>
        </w:tc>
      </w:tr>
    </w:tbl>
    <w:p>
      <w:r>
        <w:br w:type="page"/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7324D"/>
          <w:sz w:val="18"/>
        </w:rPr>
        <w:t>Recommended practices: separate improvement observations</w:t>
      </w:r>
    </w:p>
    <w:p>
      <w:pPr>
        <w:spacing w:before="0" w:after="50"/>
      </w:pPr>
      <w:r>
        <w:t>RP-1's target is acknowledgement within 2 business days. In the reviewed cohort, 10 acknowledgements were on target, 4 were late, and timing was not evidenced for 2. Late or unrecorded timing is a recommended-practice variation only; it does not prove a mandatory referral-handling breach (p. 3; register pp. 4-7).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76"/>
        <w:gridCol w:w="5176"/>
      </w:tblGrid>
      <w:tr>
        <w:tc>
          <w:tcPr>
            <w:tcW w:type="dxa" w:w="2880"/>
            <w:shd w:fill="315D7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Recommended practice</w:t>
            </w:r>
          </w:p>
        </w:tc>
        <w:tc>
          <w:tcPr>
            <w:tcW w:type="dxa" w:w="7459"/>
            <w:shd w:fill="315D7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Observed evidence in the cohort / packet</w:t>
            </w:r>
          </w:p>
        </w:tc>
      </w:tr>
      <w:tr>
        <w:trPr>
          <w:cantSplit/>
        </w:trPr>
        <w:tc>
          <w:tcPr>
            <w:tcW w:type="dxa" w:w="5176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5"/>
              </w:rPr>
              <w:t>RP-2 | Reason category</w:t>
            </w:r>
          </w:p>
        </w:tc>
        <w:tc>
          <w:tcPr>
            <w:tcW w:type="dxa" w:w="5176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5"/>
              </w:rPr>
              <w:t>Recorded in 14 of 16; not recorded in 2. Improvement opportunity, not a mandatory failure.</w:t>
            </w:r>
          </w:p>
        </w:tc>
      </w:tr>
      <w:tr>
        <w:trPr>
          <w:cantSplit/>
        </w:trPr>
        <w:tc>
          <w:tcPr>
            <w:tcW w:type="dxa" w:w="5176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shd w:fill="F3F5F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5"/>
              </w:rPr>
              <w:t>RP-3 | Second-person check</w:t>
            </w:r>
          </w:p>
        </w:tc>
        <w:tc>
          <w:tcPr>
            <w:tcW w:type="dxa" w:w="5176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  <w:shd w:fill="F3F5F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5"/>
              </w:rPr>
              <w:t>Recorded in 10 of 16; not recorded in 6. Improvement opportunity, not a mandatory failure.</w:t>
            </w:r>
          </w:p>
        </w:tc>
      </w:tr>
      <w:tr>
        <w:trPr>
          <w:cantSplit/>
        </w:trPr>
        <w:tc>
          <w:tcPr>
            <w:tcW w:type="dxa" w:w="5176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24D"/>
                <w:sz w:val="15"/>
              </w:rPr>
              <w:t>RP-4 | Supervisory monitoring</w:t>
            </w:r>
          </w:p>
        </w:tc>
        <w:tc>
          <w:tcPr>
            <w:tcW w:type="dxa" w:w="5176"/>
            <w:tcMar>
              <w:top w:w="52" w:type="dxa"/>
              <w:start w:w="62" w:type="dxa"/>
              <w:bottom w:w="52" w:type="dxa"/>
              <w:end w:w="62" w:type="dxa"/>
            </w:tcMar>
            <w:tcBorders>
              <w:top w:val="single" w:sz="4" w:color="C5CED5"/>
              <w:left w:val="single" w:sz="4" w:color="C5CED5"/>
              <w:bottom w:val="single" w:sz="4" w:color="C5CED5"/>
              <w:right w:val="single" w:sz="4" w:color="C5CE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color w:val="1B2730"/>
                <w:sz w:val="15"/>
              </w:rPr>
              <w:t>One month has a recorded trend review; 2 months are not evidenced in the packet at cut-off. Report as incomplete monitoring evidence, not a case-level mandatory-control breach.</w:t>
            </w:r>
          </w:p>
        </w:tc>
      </w:tr>
    </w:tbl>
    <w:p>
      <w:pPr>
        <w:keepNext/>
        <w:spacing w:before="100" w:after="40"/>
      </w:pPr>
      <w:r>
        <w:rPr>
          <w:rFonts w:ascii="Arial" w:hAnsi="Arial" w:eastAsia="Arial"/>
          <w:b/>
          <w:color w:val="17324D"/>
          <w:sz w:val="18"/>
        </w:rPr>
        <w:t>Evidence summary and limits</w:t>
      </w:r>
    </w:p>
    <w:p>
      <w:pPr>
        <w:spacing w:before="0" w:after="44"/>
      </w:pPr>
      <w:r>
        <w:t>The 16-row cohort is traceable by privacy-safe register locator: external Closed (p. 4, R-01 to R-08); external Pending receipt (p. 5, R-09 to R-16); Internal (p. 6, R-17 to R-24); and Returned (p. 7, R-25 to R-32). The cohort contains 6 Closed, 4 Pending receipt, 2 Open and 4 Returned records. No patient names, direct identifiers or clinical detail are reproduced here.</w:t>
      </w:r>
    </w:p>
    <w:p>
      <w:pPr>
        <w:spacing w:before="0" w:after="64"/>
      </w:pPr>
      <w:r>
        <w:t>The strongest adverse evidence is R-05's directly contrary IC-2 sequence. Mandatory evidence is also not established for intake (R-03, R-14), routing (R-07, R-14), external logging (R-12), and closure/current disposition (R-21, R-27). The remaining 16 records were not reviewed case by case. Therefore, this assessment supports no conclusion about whether every referral in the 32-record population was handled correctly.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39"/>
            <w:shd w:fill="F9E7C5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8" w:color="C07D22"/>
              <w:left w:val="single" w:sz="8" w:color="C07D22"/>
              <w:bottom w:val="single" w:sz="8" w:color="C07D22"/>
              <w:right w:val="single" w:sz="8" w:color="C07D22"/>
            </w:tcBorders>
          </w:tcPr>
          <w:p>
            <w:pPr>
              <w:spacing w:before="0" w:after="28"/>
            </w:pPr>
            <w:r/>
            <w:r>
              <w:rPr>
                <w:rFonts w:ascii="Arial" w:hAnsi="Arial"/>
                <w:b/>
                <w:color w:val="17324D"/>
                <w:sz w:val="17"/>
              </w:rPr>
              <w:t>Publication approval decision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B2730"/>
                <w:sz w:val="16"/>
              </w:rPr>
              <w:t>Approve publication only in a limited, de-identified, evidence-qualified form. It must state that the assessment reviewed 16 of 32 records, disclose R-05's mandatory before-disclosure exception and the not-established evidence listed above, and avoid any claim that the full referral population complied. On that bounded basis, publication is supportable under the packet's conditions.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778" w:bottom="677" w:left="77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6727D"/>
        <w:sz w:val="13"/>
      </w:rPr>
      <w:t>Evidence: cavendish_referral_controls_and_records.pdf | cut-off 30 Jun 2026, 17:00 local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7324D"/>
        <w:sz w:val="15"/>
      </w:rPr>
      <w:t>GRANTHILL LABORATORIES</w:t>
    </w:r>
    <w:r>
      <w:rPr>
        <w:rFonts w:ascii="Arial" w:hAnsi="Arial"/>
        <w:color w:val="66727D"/>
        <w:sz w:val="15"/>
      </w:rPr>
      <w:t xml:space="preserve">   |   Publication decision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 w:eastAsia="Arial"/>
      <w:color w:val="1B273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Cavendish Engineering Referral Handling Review - Compliance Assessment</dc:title>
  <dc:subject>Bounded compliance assessment for publication approval</dc:subject>
  <dc:creator>Granthill Laboratories</dc:creator>
  <cp:keywords/>
  <dc:description>Private reference solution generated from the supplied evidence packet.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