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Arial" w:hAnsi="Arial"/>
          <w:b/>
          <w:i w:val="0"/>
          <w:color w:val="173B4A"/>
          <w:sz w:val="36"/>
        </w:rPr>
        <w:t>Kelverdon mineralogy gallery</w:t>
      </w:r>
    </w:p>
    <w:p>
      <w:pPr>
        <w:spacing w:after="100"/>
      </w:pPr>
      <w:r>
        <w:rPr>
          <w:rFonts w:ascii="Arial" w:hAnsi="Arial"/>
          <w:b/>
          <w:i w:val="0"/>
          <w:color w:val="24556A"/>
          <w:sz w:val="20"/>
        </w:rPr>
        <w:t>Audio-description marked script | revision basis: transition layout → final layout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7"/>
        <w:gridCol w:w="2657"/>
        <w:gridCol w:w="2657"/>
        <w:gridCol w:w="2657"/>
      </w:tblGrid>
      <w:tr>
        <w:tc>
          <w:tcPr>
            <w:tcW w:type="dxa" w:w="2232"/>
            <w:shd w:fill="EEF4F6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i w:val="0"/>
                <w:color w:val="24556A"/>
                <w:sz w:val="16"/>
              </w:rPr>
              <w:t>Writer</w:t>
            </w:r>
          </w:p>
        </w:tc>
        <w:tc>
          <w:tcPr>
            <w:tcW w:type="dxa" w:w="2880"/>
            <w:shd w:fill="EEF4F6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Agnes Dimitrov</w:t>
            </w:r>
          </w:p>
        </w:tc>
        <w:tc>
          <w:tcPr>
            <w:tcW w:type="dxa" w:w="2232"/>
            <w:shd w:fill="EEF4F6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i w:val="0"/>
                <w:color w:val="24556A"/>
                <w:sz w:val="16"/>
              </w:rPr>
              <w:t>Access approval</w:t>
            </w:r>
          </w:p>
        </w:tc>
        <w:tc>
          <w:tcPr>
            <w:tcW w:type="dxa" w:w="3168"/>
            <w:shd w:fill="EEF4F6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Bekele Cordova</w:t>
            </w:r>
          </w:p>
        </w:tc>
      </w:tr>
      <w:tr>
        <w:tc>
          <w:tcPr>
            <w:tcW w:type="dxa" w:w="2232"/>
            <w:shd w:fill="EEF4F6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i w:val="0"/>
                <w:color w:val="24556A"/>
                <w:sz w:val="16"/>
              </w:rPr>
              <w:t>Delivery / fit-out</w:t>
            </w:r>
          </w:p>
        </w:tc>
        <w:tc>
          <w:tcPr>
            <w:tcW w:type="dxa" w:w="2880"/>
            <w:shd w:fill="EEF4F6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Ironvale Logistics / Westmere Manufacturing</w:t>
            </w:r>
          </w:p>
        </w:tc>
        <w:tc>
          <w:tcPr>
            <w:tcW w:type="dxa" w:w="2232"/>
            <w:shd w:fill="EEF4F6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i w:val="0"/>
                <w:color w:val="24556A"/>
                <w:sz w:val="16"/>
              </w:rPr>
              <w:t>Production point</w:t>
            </w:r>
          </w:p>
        </w:tc>
        <w:tc>
          <w:tcPr>
            <w:tcW w:type="dxa" w:w="3168"/>
            <w:shd w:fill="EEF4F6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Voice session Friday; gallery opens in five weeks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24556A"/>
          <w:sz w:val="17"/>
        </w:rPr>
        <w:t xml:space="preserve">How to use this mark-up. </w:t>
      </w:r>
      <w:r>
        <w:rPr>
          <w:rFonts w:ascii="Arial" w:hAnsi="Arial"/>
          <w:b w:val="0"/>
          <w:i w:val="0"/>
          <w:sz w:val="17"/>
        </w:rPr>
        <w:t>Source lines are stable IDs. Each flagged line has a replacement (or an explicit keep/verify instruction), a principle-based reason, and a status. “Transition” is not a recording approval; only the final-layout version can be access-ready.</w:t>
      </w:r>
    </w:p>
    <w:p>
      <w:pPr>
        <w:pStyle w:val="Heading1"/>
      </w:pPr>
      <w:r>
        <w:t>Source sequence and line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7"/>
        <w:gridCol w:w="2657"/>
        <w:gridCol w:w="2657"/>
        <w:gridCol w:w="2657"/>
      </w:tblGrid>
      <w:tr>
        <w:trPr>
          <w:tblHeader w:val="true"/>
        </w:trPr>
        <w:tc>
          <w:tcPr>
            <w:tcW w:type="dxa" w:w="1037"/>
            <w:shd w:fill="24556A"/>
            <w:tcBorders>
              <w:top w:val="single" w:sz="4" w:color="24556A"/>
              <w:left w:val="single" w:sz="4" w:color="24556A"/>
              <w:bottom w:val="single" w:sz="4" w:color="24556A"/>
              <w:right w:val="single" w:sz="4" w:color="24556A"/>
              <w:insideH w:val="single" w:sz="4" w:color="24556A"/>
              <w:insideV w:val="single" w:sz="4" w:color="24556A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REF</w:t>
            </w:r>
          </w:p>
        </w:tc>
        <w:tc>
          <w:tcPr>
            <w:tcW w:type="dxa" w:w="3096"/>
            <w:shd w:fill="24556A"/>
            <w:tcBorders>
              <w:top w:val="single" w:sz="4" w:color="24556A"/>
              <w:left w:val="single" w:sz="4" w:color="24556A"/>
              <w:bottom w:val="single" w:sz="4" w:color="24556A"/>
              <w:right w:val="single" w:sz="4" w:color="24556A"/>
              <w:insideH w:val="single" w:sz="4" w:color="24556A"/>
              <w:insideV w:val="single" w:sz="4" w:color="24556A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SOURCE LINE</w:t>
            </w:r>
          </w:p>
        </w:tc>
        <w:tc>
          <w:tcPr>
            <w:tcW w:type="dxa" w:w="3672"/>
            <w:shd w:fill="24556A"/>
            <w:tcBorders>
              <w:top w:val="single" w:sz="4" w:color="24556A"/>
              <w:left w:val="single" w:sz="4" w:color="24556A"/>
              <w:bottom w:val="single" w:sz="4" w:color="24556A"/>
              <w:right w:val="single" w:sz="4" w:color="24556A"/>
              <w:insideH w:val="single" w:sz="4" w:color="24556A"/>
              <w:insideV w:val="single" w:sz="4" w:color="24556A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EDITORIAL REPLACEMENT</w:t>
            </w:r>
          </w:p>
        </w:tc>
        <w:tc>
          <w:tcPr>
            <w:tcW w:type="dxa" w:w="2707"/>
            <w:shd w:fill="24556A"/>
            <w:tcBorders>
              <w:top w:val="single" w:sz="4" w:color="24556A"/>
              <w:left w:val="single" w:sz="4" w:color="24556A"/>
              <w:bottom w:val="single" w:sz="4" w:color="24556A"/>
              <w:right w:val="single" w:sz="4" w:color="24556A"/>
              <w:insideH w:val="single" w:sz="4" w:color="24556A"/>
              <w:insideV w:val="single" w:sz="4" w:color="24556A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REASON / STATUS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1F6F7"/>
          </w:tcPr>
          <w:p>
            <w:r>
              <w:rPr>
                <w:rFonts w:ascii="Arial" w:hAnsi="Arial"/>
                <w:b/>
                <w:color w:val="24556A"/>
                <w:sz w:val="16"/>
              </w:rPr>
              <w:t>L01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Source </w:t>
            </w:r>
            <w:r>
              <w:rPr>
                <w:rFonts w:ascii="Arial" w:hAnsi="Arial"/>
                <w:b w:val="0"/>
                <w:i w:val="0"/>
                <w:sz w:val="16"/>
              </w:rPr>
              <w:t>NARRATOR: The mineralogy gallery opens with a wall of specimens.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Marked wording </w:t>
            </w:r>
            <w:r>
              <w:rPr>
                <w:rFonts w:ascii="Arial" w:hAnsi="Arial"/>
                <w:b w:val="0"/>
                <w:i w:val="0"/>
                <w:sz w:val="16"/>
              </w:rPr>
              <w:t>KEEP. Narrator: “The mineralogy gallery opens with a wall of specimens.”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Principle </w:t>
            </w:r>
            <w:r>
              <w:rPr>
                <w:rFonts w:ascii="Arial" w:hAnsi="Arial"/>
                <w:b w:val="0"/>
                <w:i w:val="0"/>
                <w:sz w:val="16"/>
              </w:rPr>
              <w:t>Orientation first: concrete and listener-facing; no unsupported detail. STATUS: KEEP.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1F6F7"/>
          </w:tcPr>
          <w:p>
            <w:r>
              <w:rPr>
                <w:rFonts w:ascii="Arial" w:hAnsi="Arial"/>
                <w:b/>
                <w:color w:val="24556A"/>
                <w:sz w:val="16"/>
              </w:rPr>
              <w:t>L02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Source </w:t>
            </w:r>
            <w:r>
              <w:rPr>
                <w:rFonts w:ascii="Arial" w:hAnsi="Arial"/>
                <w:b w:val="0"/>
                <w:i w:val="0"/>
                <w:sz w:val="16"/>
              </w:rPr>
              <w:t>NARRATOR: The dark, jagged crystal seems to hold the memory of ancient fire.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Marked wording </w:t>
            </w:r>
            <w:r>
              <w:rPr>
                <w:rFonts w:ascii="Arial" w:hAnsi="Arial"/>
                <w:b w:val="0"/>
                <w:i w:val="0"/>
                <w:sz w:val="16"/>
              </w:rPr>
              <w:t>REPLACE. Narrator: “A dark, jagged crystal rises from its mount.” Interpretation may follow only if explicitly labelled as interpretation.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Principle </w:t>
            </w:r>
            <w:r>
              <w:rPr>
                <w:rFonts w:ascii="Arial" w:hAnsi="Arial"/>
                <w:b w:val="0"/>
                <w:i w:val="0"/>
                <w:sz w:val="16"/>
              </w:rPr>
              <w:t>Description must state what can be observed. “Holds the memory” is an inference, not a physical attribute. STATUS: REVISE.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1F6F7"/>
          </w:tcPr>
          <w:p>
            <w:r>
              <w:rPr>
                <w:rFonts w:ascii="Arial" w:hAnsi="Arial"/>
                <w:b/>
                <w:color w:val="24556A"/>
                <w:sz w:val="16"/>
              </w:rPr>
              <w:t>L03 | 14 s gap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Source </w:t>
            </w:r>
            <w:r>
              <w:rPr>
                <w:rFonts w:ascii="Arial" w:hAnsi="Arial"/>
                <w:b w:val="0"/>
                <w:i w:val="0"/>
                <w:sz w:val="16"/>
              </w:rPr>
              <w:t>NARRATOR (about 200 words assigned to a 14-second gap): “Minerals are often described as silent records…” [full curator passage continues through formation, trade, and human wonder.]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Marked wording </w:t>
            </w:r>
            <w:r>
              <w:rPr>
                <w:rFonts w:ascii="Arial" w:hAnsi="Arial"/>
                <w:b w:val="0"/>
                <w:i w:val="0"/>
                <w:sz w:val="16"/>
              </w:rPr>
              <w:t>REPLACE for the gap: “A mineral specimen catches the light. Its angular faces meet in sharp edges.” (Approx. 14 seconds only after a spoken rehearsal; move the remaining supported context to a later gap or retain it in the written guide.)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Principle </w:t>
            </w:r>
            <w:r>
              <w:rPr>
                <w:rFonts w:ascii="Arial" w:hAnsi="Arial"/>
                <w:b w:val="0"/>
                <w:i w:val="0"/>
                <w:sz w:val="16"/>
              </w:rPr>
              <w:t>The original passage is approximately 200 words and cannot be treated as recordable in 14 seconds. Word count is an estimate, not a performance guarantee. STATUS: REVISE / TIME-CHECK.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1F6F7"/>
          </w:tcPr>
          <w:p>
            <w:r>
              <w:rPr>
                <w:rFonts w:ascii="Arial" w:hAnsi="Arial"/>
                <w:b/>
                <w:color w:val="24556A"/>
                <w:sz w:val="16"/>
              </w:rPr>
              <w:t>L04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Source </w:t>
            </w:r>
            <w:r>
              <w:rPr>
                <w:rFonts w:ascii="Arial" w:hAnsi="Arial"/>
                <w:b w:val="0"/>
                <w:i w:val="0"/>
                <w:sz w:val="16"/>
              </w:rPr>
              <w:t>NARRATOR: The label beside it names the mineral and its recorded provenance.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Marked wording </w:t>
            </w:r>
            <w:r>
              <w:rPr>
                <w:rFonts w:ascii="Arial" w:hAnsi="Arial"/>
                <w:b w:val="0"/>
                <w:i w:val="0"/>
                <w:sz w:val="16"/>
              </w:rPr>
              <w:t>KEEP, subject to final label check. Narrator: “The label beside the specimen names the mineral and records its provenance.”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Principle </w:t>
            </w:r>
            <w:r>
              <w:rPr>
                <w:rFonts w:ascii="Arial" w:hAnsi="Arial"/>
                <w:b w:val="0"/>
                <w:i w:val="0"/>
                <w:sz w:val="16"/>
              </w:rPr>
              <w:t>Spoken description and gallery text are distinct; verify the label in the final installation before recording. STATUS: VERIFY.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1F6F7"/>
          </w:tcPr>
          <w:p>
            <w:r>
              <w:rPr>
                <w:rFonts w:ascii="Arial" w:hAnsi="Arial"/>
                <w:b/>
                <w:color w:val="24556A"/>
                <w:sz w:val="16"/>
              </w:rPr>
              <w:t>L05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Source </w:t>
            </w:r>
            <w:r>
              <w:rPr>
                <w:rFonts w:ascii="Arial" w:hAnsi="Arial"/>
                <w:b w:val="0"/>
                <w:i w:val="0"/>
                <w:sz w:val="16"/>
              </w:rPr>
              <w:t>“It was collected when the collection first travelled here.”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Marked wording </w:t>
            </w:r>
            <w:r>
              <w:rPr>
                <w:rFonts w:ascii="Arial" w:hAnsi="Arial"/>
                <w:b w:val="0"/>
                <w:i w:val="0"/>
                <w:sz w:val="16"/>
              </w:rPr>
              <w:t>REPLACE. “A second voice says, ‘It was collected when the collection first travelled here.’”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Principle </w:t>
            </w:r>
            <w:r>
              <w:rPr>
                <w:rFonts w:ascii="Arial" w:hAnsi="Arial"/>
                <w:b w:val="0"/>
                <w:i w:val="0"/>
                <w:sz w:val="16"/>
              </w:rPr>
              <w:t>The source changes voice without a cue. Signal the transition without inventing identity, emotion, or biography. STATUS: REVISE.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1F6F7"/>
          </w:tcPr>
          <w:p>
            <w:r>
              <w:rPr>
                <w:rFonts w:ascii="Arial" w:hAnsi="Arial"/>
                <w:b/>
                <w:color w:val="24556A"/>
                <w:sz w:val="16"/>
              </w:rPr>
              <w:t>L06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Source </w:t>
            </w:r>
            <w:r>
              <w:rPr>
                <w:rFonts w:ascii="Arial" w:hAnsi="Arial"/>
                <w:b w:val="0"/>
                <w:i w:val="0"/>
                <w:sz w:val="16"/>
              </w:rPr>
              <w:t>NARRATOR: The sentence ends as the track moves to the next case.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Marked wording </w:t>
            </w:r>
            <w:r>
              <w:rPr>
                <w:rFonts w:ascii="Arial" w:hAnsi="Arial"/>
                <w:b w:val="0"/>
                <w:i w:val="0"/>
                <w:sz w:val="16"/>
              </w:rPr>
              <w:t>KEEP. Narrator: “The sentence ends as the track moves to the next case.”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Principle </w:t>
            </w:r>
            <w:r>
              <w:rPr>
                <w:rFonts w:ascii="Arial" w:hAnsi="Arial"/>
                <w:b w:val="0"/>
                <w:i w:val="0"/>
                <w:sz w:val="16"/>
              </w:rPr>
              <w:t>A short, neutral bridge supports pacing and orientation. STATUS: KEEP.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1F6F7"/>
          </w:tcPr>
          <w:p>
            <w:r>
              <w:rPr>
                <w:rFonts w:ascii="Arial" w:hAnsi="Arial"/>
                <w:b/>
                <w:color w:val="24556A"/>
                <w:sz w:val="16"/>
              </w:rPr>
              <w:t>L07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Source </w:t>
            </w:r>
            <w:r>
              <w:rPr>
                <w:rFonts w:ascii="Arial" w:hAnsi="Arial"/>
                <w:b w:val="0"/>
                <w:i w:val="0"/>
                <w:sz w:val="16"/>
              </w:rPr>
              <w:t>[bright chime]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Marked wording </w:t>
            </w:r>
            <w:r>
              <w:rPr>
                <w:rFonts w:ascii="Arial" w:hAnsi="Arial"/>
                <w:b w:val="0"/>
                <w:i w:val="0"/>
                <w:sz w:val="16"/>
              </w:rPr>
              <w:t>REPLACE cue: “[Sound cue: bright chime.]” Retain only if the chime is present in the approved mix; do not name its source or meaning.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Principle </w:t>
            </w:r>
            <w:r>
              <w:rPr>
                <w:rFonts w:ascii="Arial" w:hAnsi="Arial"/>
                <w:b w:val="0"/>
                <w:i w:val="0"/>
                <w:sz w:val="16"/>
              </w:rPr>
              <w:t>The source gives an audible event without a listener or production cue. Identify what is heard without claiming why it occurs. STATUS: IDENTIFY / VERIFY.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1F6F7"/>
          </w:tcPr>
          <w:p>
            <w:r>
              <w:rPr>
                <w:rFonts w:ascii="Arial" w:hAnsi="Arial"/>
                <w:b/>
                <w:color w:val="24556A"/>
                <w:sz w:val="16"/>
              </w:rPr>
              <w:t>L08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Source </w:t>
            </w:r>
            <w:r>
              <w:rPr>
                <w:rFonts w:ascii="Arial" w:hAnsi="Arial"/>
                <w:b w:val="0"/>
                <w:i w:val="0"/>
                <w:sz w:val="16"/>
              </w:rPr>
              <w:t>NARRATOR: The specimen sits in the left-hand case.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Marked wording </w:t>
            </w:r>
            <w:r>
              <w:rPr>
                <w:rFonts w:ascii="Arial" w:hAnsi="Arial"/>
                <w:b w:val="0"/>
                <w:i w:val="0"/>
                <w:sz w:val="16"/>
              </w:rPr>
              <w:t>REPLACE. Narrator: “The specimen is displayed in the current case.”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Principle </w:t>
            </w:r>
            <w:r>
              <w:rPr>
                <w:rFonts w:ascii="Arial" w:hAnsi="Arial"/>
                <w:b w:val="0"/>
                <w:i w:val="0"/>
                <w:sz w:val="16"/>
              </w:rPr>
              <w:t>The specimen moved in the final layout; the former location is stale. Avoid directing a listener to an obsolete position. STATUS: REVISE / FINAL-LAYOUT VERIFY.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1F6F7"/>
          </w:tcPr>
          <w:p>
            <w:r>
              <w:rPr>
                <w:rFonts w:ascii="Arial" w:hAnsi="Arial"/>
                <w:b/>
                <w:color w:val="24556A"/>
                <w:sz w:val="16"/>
              </w:rPr>
              <w:t>L09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Source </w:t>
            </w:r>
            <w:r>
              <w:rPr>
                <w:rFonts w:ascii="Arial" w:hAnsi="Arial"/>
                <w:b w:val="0"/>
                <w:i w:val="0"/>
                <w:sz w:val="16"/>
              </w:rPr>
              <w:t>NARRATOR: From the left-hand case, the specimen is nearest the doorway.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Marked wording </w:t>
            </w:r>
            <w:r>
              <w:rPr>
                <w:rFonts w:ascii="Arial" w:hAnsi="Arial"/>
                <w:b w:val="0"/>
                <w:i w:val="0"/>
                <w:sz w:val="16"/>
              </w:rPr>
              <w:t>REPLACE. Narrator: “The specimen is displayed with the other mineral specimens.”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Principle </w:t>
            </w:r>
            <w:r>
              <w:rPr>
                <w:rFonts w:ascii="Arial" w:hAnsi="Arial"/>
                <w:b w:val="0"/>
                <w:i w:val="0"/>
                <w:sz w:val="16"/>
              </w:rPr>
              <w:t>Second stale reference to the moved specimen. Use a layout-safe relation until the final position is confirmed; do not assert a new location. STATUS: REVISE / FINAL-LAYOUT VERIFY.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1F6F7"/>
          </w:tcPr>
          <w:p>
            <w:r>
              <w:rPr>
                <w:rFonts w:ascii="Arial" w:hAnsi="Arial"/>
                <w:b/>
                <w:color w:val="24556A"/>
                <w:sz w:val="16"/>
              </w:rPr>
              <w:t>L10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Source </w:t>
            </w:r>
            <w:r>
              <w:rPr>
                <w:rFonts w:ascii="Arial" w:hAnsi="Arial"/>
                <w:b w:val="0"/>
                <w:i w:val="0"/>
                <w:sz w:val="16"/>
              </w:rPr>
              <w:t>NARRATOR: A narrow caption closes the sequence.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Marked wording </w:t>
            </w:r>
            <w:r>
              <w:rPr>
                <w:rFonts w:ascii="Arial" w:hAnsi="Arial"/>
                <w:b w:val="0"/>
                <w:i w:val="0"/>
                <w:sz w:val="16"/>
              </w:rPr>
              <w:t>KEEP, after final-layout check. Narrator: “A narrow caption closes the sequence.”</w:t>
            </w:r>
          </w:p>
        </w:tc>
        <w:tc>
          <w:tcPr>
            <w:tcW w:type="dxa" w:w="2657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24556A"/>
                <w:sz w:val="16"/>
              </w:rPr>
              <w:t xml:space="preserve">Principle </w:t>
            </w:r>
            <w:r>
              <w:rPr>
                <w:rFonts w:ascii="Arial" w:hAnsi="Arial"/>
                <w:b w:val="0"/>
                <w:i w:val="0"/>
                <w:sz w:val="16"/>
              </w:rPr>
              <w:t>Concrete, concise visual information; no pointer such as “here” that would depend on sight. STATUS: VERIFY.</w:t>
            </w:r>
          </w:p>
        </w:tc>
      </w:tr>
    </w:tbl>
    <w:p>
      <w:pPr>
        <w:pStyle w:val="Heading1"/>
      </w:pPr>
      <w:r>
        <w:t>Operating notes for the changeover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2045"/>
            <w:shd w:fill="24556A"/>
            <w:tcBorders>
              <w:top w:val="single" w:sz="4" w:color="24556A"/>
              <w:left w:val="single" w:sz="4" w:color="24556A"/>
              <w:bottom w:val="single" w:sz="4" w:color="24556A"/>
              <w:right w:val="single" w:sz="4" w:color="24556A"/>
              <w:insideH w:val="single" w:sz="4" w:color="24556A"/>
              <w:insideV w:val="single" w:sz="4" w:color="24556A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NOTE</w:t>
            </w:r>
          </w:p>
        </w:tc>
        <w:tc>
          <w:tcPr>
            <w:tcW w:type="dxa" w:w="8467"/>
            <w:shd w:fill="24556A"/>
            <w:tcBorders>
              <w:top w:val="single" w:sz="4" w:color="24556A"/>
              <w:left w:val="single" w:sz="4" w:color="24556A"/>
              <w:bottom w:val="single" w:sz="4" w:color="24556A"/>
              <w:right w:val="single" w:sz="4" w:color="24556A"/>
              <w:insideH w:val="single" w:sz="4" w:color="24556A"/>
              <w:insideV w:val="single" w:sz="4" w:color="24556A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OPERATING INSTRUCTION</w:t>
            </w:r>
          </w:p>
        </w:tc>
      </w:tr>
      <w:tr>
        <w:trPr>
          <w:cantSplit/>
        </w:trPr>
        <w:tc>
          <w:tcPr>
            <w:tcW w:type="dxa" w:w="5314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1F6F7"/>
          </w:tcPr>
          <w:p>
            <w:r>
              <w:rPr>
                <w:rFonts w:ascii="Arial" w:hAnsi="Arial"/>
                <w:b/>
                <w:color w:val="24556A"/>
                <w:sz w:val="16"/>
              </w:rPr>
              <w:t>STATUS CONTROL</w:t>
            </w:r>
          </w:p>
        </w:tc>
        <w:tc>
          <w:tcPr>
            <w:tcW w:type="dxa" w:w="5314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This file is “TRANSITION MARK-UP — NOT FOR FINAL RECORDING.” Agnes revises source lines and preserves the L01–L10 IDs. Bekele approves content only after the final layout is in service; a separate listen-through establishes performance readiness. The transition and final layouts are not treated as simultaneously final.</w:t>
            </w:r>
          </w:p>
        </w:tc>
      </w:tr>
      <w:tr>
        <w:trPr>
          <w:cantSplit/>
        </w:trPr>
        <w:tc>
          <w:tcPr>
            <w:tcW w:type="dxa" w:w="5314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1F6F7"/>
          </w:tcPr>
          <w:p>
            <w:r>
              <w:rPr>
                <w:rFonts w:ascii="Arial" w:hAnsi="Arial"/>
                <w:b/>
                <w:color w:val="24556A"/>
                <w:sz w:val="16"/>
              </w:rPr>
              <w:t>CURRENT CHANGEOVER</w:t>
            </w:r>
          </w:p>
        </w:tc>
        <w:tc>
          <w:tcPr>
            <w:tcW w:type="dxa" w:w="5314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Do not record or approve L08–L09 as location statements. Their transition-safe replacements may be used for a temporary read only if the team needs continuity, but they remain held from the Friday final take until the final display is checked. If a line becomes inaccurate after the move, replace it in the final-layout version and retire the transition wording; do not carry both versions forward.</w:t>
            </w:r>
          </w:p>
        </w:tc>
      </w:tr>
      <w:tr>
        <w:trPr>
          <w:cantSplit/>
        </w:trPr>
        <w:tc>
          <w:tcPr>
            <w:tcW w:type="dxa" w:w="5314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1F6F7"/>
          </w:tcPr>
          <w:p>
            <w:r>
              <w:rPr>
                <w:rFonts w:ascii="Arial" w:hAnsi="Arial"/>
                <w:b/>
                <w:color w:val="24556A"/>
                <w:sz w:val="16"/>
              </w:rPr>
              <w:t>FINAL-LAYOUT BASIS</w:t>
            </w:r>
          </w:p>
        </w:tc>
        <w:tc>
          <w:tcPr>
            <w:tcW w:type="dxa" w:w="5314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When the final layout is in service, verify the specimen references, the label at L04, and the caption at L10 against what is installed. Bekele’s access-ready decision is based on that verified version. Agnes owns wording and factual traceability; Bekele owns access approval. Ironvale Logistics and Westmere Manufacturing are delivery/fit-out context, not additional editorial approvers.</w:t>
            </w:r>
          </w:p>
        </w:tc>
      </w:tr>
      <w:tr>
        <w:trPr>
          <w:cantSplit/>
        </w:trPr>
        <w:tc>
          <w:tcPr>
            <w:tcW w:type="dxa" w:w="5314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1F6F7"/>
          </w:tcPr>
          <w:p>
            <w:r>
              <w:rPr>
                <w:rFonts w:ascii="Arial" w:hAnsi="Arial"/>
                <w:b/>
                <w:color w:val="24556A"/>
                <w:sz w:val="16"/>
              </w:rPr>
              <w:t>14-SECOND CHECK</w:t>
            </w:r>
          </w:p>
        </w:tc>
        <w:tc>
          <w:tcPr>
            <w:tcW w:type="dxa" w:w="5314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Treat the L03 gap as a hard usable gap: the concise replacement is an estimate, not a guaranteed duration. Rehearse it at the intended delivery pace with the adjacent track. If it overruns, log the failed take and move nonessential supported context to another available gap; never silently drop or invent a factual claim.</w:t>
            </w:r>
          </w:p>
        </w:tc>
      </w:tr>
      <w:tr>
        <w:trPr>
          <w:cantSplit/>
        </w:trPr>
        <w:tc>
          <w:tcPr>
            <w:tcW w:type="dxa" w:w="5314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1F6F7"/>
          </w:tcPr>
          <w:p>
            <w:r>
              <w:rPr>
                <w:rFonts w:ascii="Arial" w:hAnsi="Arial"/>
                <w:b/>
                <w:color w:val="24556A"/>
                <w:sz w:val="16"/>
              </w:rPr>
              <w:t>CONFLICT RULE</w:t>
            </w:r>
          </w:p>
        </w:tc>
        <w:tc>
          <w:tcPr>
            <w:tcW w:type="dxa" w:w="5314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If a curator-approved factual phrase cannot fit the accessible gap, preserve the fact but compress only supported wording and relocate nonessential detail. Curator approval does not override a usable timing constraint, and timing does not permit deleting, altering, or fabricating a factual claim. Hold the phrase for a later gap if it cannot be kept accurately and intelligibly.</w:t>
            </w:r>
          </w:p>
        </w:tc>
      </w:tr>
      <w:tr>
        <w:trPr>
          <w:cantSplit/>
        </w:trPr>
        <w:tc>
          <w:tcPr>
            <w:tcW w:type="dxa" w:w="5314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1F6F7"/>
          </w:tcPr>
          <w:p>
            <w:r>
              <w:rPr>
                <w:rFonts w:ascii="Arial" w:hAnsi="Arial"/>
                <w:b/>
                <w:color w:val="24556A"/>
                <w:sz w:val="16"/>
              </w:rPr>
              <w:t>RECORDING-READINESS CHECK</w:t>
            </w:r>
          </w:p>
        </w:tc>
        <w:tc>
          <w:tcPr>
            <w:tcW w:type="dxa" w:w="5314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  <w:insideH w:val="single" w:sz="4" w:color="D6DEE5"/>
              <w:insideV w:val="single" w:sz="4" w:color="D6DEE5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Before Bekele approves: (1) rehearse/listen at delivery pace and confirm L03 fits the 14-second gap; (2) hear the speaker transition at L05; (3) confirm the L07 chime is present and labelled as a sound cue; (4) verify L08–L09 against the final layout; (5) record any timing failure and its factual-preserving resolution. This check supports professional access work; it is not a legal opinion, a universal accessibility guarantee, or a jurisdiction-wide compliance finding.</w:t>
            </w:r>
          </w:p>
        </w:tc>
      </w:tr>
    </w:tbl>
    <w:p>
      <w:pPr>
        <w:pStyle w:val="Heading1"/>
      </w:pPr>
      <w:r>
        <w:t>Editorial disposition</w:t>
      </w:r>
    </w:p>
    <w:p>
      <w:pPr>
        <w:spacing w:after="0"/>
      </w:pPr>
      <w:r>
        <w:rPr>
          <w:rFonts w:ascii="Arial" w:hAnsi="Arial"/>
          <w:b/>
          <w:i w:val="0"/>
          <w:color w:val="173B4A"/>
          <w:sz w:val="17"/>
        </w:rPr>
        <w:t xml:space="preserve">HOLD FOR FINAL-LAYOUT VERIFICATION; THEN RELEASE THE MARKED REPLACEMENTS AS THE ACCESS-READY SCRIPT FOR FRIDAY’S VOICE SESSION. </w:t>
      </w:r>
      <w:r>
        <w:rPr>
          <w:rFonts w:ascii="Arial" w:hAnsi="Arial"/>
          <w:b w:val="0"/>
          <w:i w:val="0"/>
          <w:sz w:val="17"/>
        </w:rPr>
        <w:t>The transition mark-up is complete and actionable, but it is not the approved recording copy until the final display references and the 14-second rehearsal check pass.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806" w:bottom="547" w:left="806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D86"/>
        <w:sz w:val="15"/>
      </w:rPr>
      <w:t>Marked script • internal editorial handoff • 24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6B7D86"/>
        <w:sz w:val="15"/>
      </w:rPr>
      <w:t>KELVERDON MUSEUM  |  ACCESS PRODUCTION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B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4556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Arial" w:hAnsi="Arial"/>
      <w:b/>
      <w:color w:val="173B4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