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Goldfinch Alliance</w:t>
        <w:br/>
        <w:t>Annual QAPI Report | FY2025</w:t>
      </w:r>
    </w:p>
    <w:p>
      <w:pPr>
        <w:jc w:val="center"/>
      </w:pPr>
      <w:r>
        <w:t>Prepared for internal quality and governing-body review | Reporting year: January 1–December 31, 2025</w:t>
      </w:r>
    </w:p>
    <w:p>
      <w:r>
        <w:rPr>
          <w:b/>
        </w:rPr>
        <w:t>Scope and evidence note</w:t>
      </w:r>
    </w:p>
    <w:p>
      <w:r>
        <w:t>This report aggregates service-line quality measures for governance review. Percentages and rates retain their source denominators. Narrative findings are descriptive; the report does not establish causation, legal noncompliance, or a contractual breach unless expressly stated.</w:t>
      </w:r>
    </w:p>
    <w:p>
      <w:r>
        <w:rPr>
          <w:b/>
        </w:rPr>
        <w:t>Service-line index</w:t>
      </w:r>
    </w:p>
    <w:p>
      <w:pPr>
        <w:pStyle w:val="ListBullet"/>
      </w:pPr>
      <w:r>
        <w:t>1. Home Health</w:t>
      </w:r>
    </w:p>
    <w:p>
      <w:pPr>
        <w:pStyle w:val="ListBullet"/>
      </w:pPr>
      <w:r>
        <w:t>2. Hospice</w:t>
      </w:r>
    </w:p>
    <w:p>
      <w:pPr>
        <w:pStyle w:val="ListBullet"/>
      </w:pPr>
      <w:r>
        <w:t>3. Ravensmoor Manufacturing Occupational Health (contracted service line)</w:t>
      </w:r>
    </w:p>
    <w:p>
      <w:pPr>
        <w:pStyle w:val="ListBullet"/>
      </w:pPr>
      <w:r>
        <w:t>4. Vascular Access Services</w:t>
      </w:r>
    </w:p>
    <w:p>
      <w:r>
        <w:br w:type="page"/>
      </w:r>
    </w:p>
    <w:p>
      <w:r>
        <w:rPr>
          <w:b/>
          <w:color w:val="1F4E79"/>
          <w:sz w:val="28"/>
        </w:rPr>
        <w:t>1. Home Health</w:t>
      </w:r>
    </w:p>
    <w:p>
      <w:r>
        <w:t>Measure: Medication reconciliation completed within 48 hours of start of care. FY2025: 98 of 100 eligible starts (98%). FY2024 comparison: 96 of 100 (96%). Status: Stable, with the current-period result higher than the prior comparison period. The denominator is eligible starts of care; no patient-level identifiers are included.</w:t>
      </w:r>
    </w:p>
    <w:p>
      <w:r>
        <w:t>Operational note: This measure describes completion documentation and does not, by itself, establish medication safety outcomes.</w:t>
      </w:r>
    </w:p>
    <w:p>
      <w:r>
        <w:rPr>
          <w:b/>
          <w:color w:val="1F4E79"/>
          <w:sz w:val="28"/>
        </w:rPr>
        <w:t>2. Hospice</w:t>
      </w:r>
    </w:p>
    <w:p>
      <w:r>
        <w:t>Measure: Comprehensive symptom reassessment documented within 48 hours after an urgent symptom call. FY2025: 47 of 50 urgent calls (94%). FY2024 comparison: 45 of 50 (90%). Status: Improving. The denominator is urgent symptom calls meeting the report definition.</w:t>
      </w:r>
    </w:p>
    <w:p>
      <w:r>
        <w:t>Operational note: The measure is a documentation-timeliness percentage, not a claim about symptom relief.</w:t>
      </w:r>
    </w:p>
    <w:p>
      <w:r>
        <w:br w:type="page"/>
      </w:r>
    </w:p>
    <w:p>
      <w:r>
        <w:rPr>
          <w:b/>
          <w:color w:val="1F4E79"/>
          <w:sz w:val="28"/>
        </w:rPr>
        <w:t>3. Ravensmoor Manufacturing Occupational Health</w:t>
      </w:r>
    </w:p>
    <w:p>
      <w:r>
        <w:t>Contracted service line. Measure: Exposure follow-up documentation completed within two business days. Current-period process (in force January 1–October 31, 2025): paper log entry plus supervisor sign-off; 18 of 20 eligible exposure follow-ups (90%) met the two-business-day interval. Status for that period: Current process / 90%.</w:t>
      </w:r>
    </w:p>
    <w:p>
      <w:r>
        <w:t>Transition window: November 1–December 31, 2025. Ravensmoor and Goldfinch began using the electronic attestation workflow alongside the paper log. Evidence for the overlap is incomplete in the annual report; the two processes should not be combined into one result. Intended end-state process: electronic attestation at the time of follow-up, effective January 1, 2026, subject to completion of the implementation condition recorded in the contract appendix. End-state status at December 31, 2025: Not yet in force.</w:t>
      </w:r>
    </w:p>
    <w:p>
      <w:r>
        <w:t>Applicability boundary: The current-period process is the process against which FY2025 documentation is described. The end-state workflow is a defined future-state improvement and is not treated here as a current-period compliance requirement.</w:t>
      </w:r>
    </w:p>
    <w:p>
      <w:r>
        <w:rPr>
          <w:b/>
          <w:color w:val="1F4E79"/>
          <w:sz w:val="28"/>
        </w:rPr>
        <w:t>4. Vascular Access Services</w:t>
      </w:r>
    </w:p>
    <w:p>
      <w:r>
        <w:t>Measure: Vascular-access infection events per 1,000 line-days. Numerator: infection events meeting the report definition; denominator: central-line days. Quarterly trend: Q1 2025, 0/1,260 = 0.00 per 1,000 line-days; Q2, 1/1,290 = 0.78; Q3, 1/1,310 = 0.76; Q4, 3/1,240 = 2.42. FY2024 comparison: 2/5,180 = 0.39 per 1,000 line-days. Status: Concerning trend in Q4; the annual report does not set a regulatory threshold.</w:t>
      </w:r>
    </w:p>
    <w:p>
      <w:r>
        <w:t>Evidence boundary: The report notes a temporal association between the Q4 increase and a supply change under review. The data do not establish that the supply change caused the infections, and they do not establish a legal, regulatory, or contractual finding.</w:t>
      </w:r>
    </w:p>
    <w:p>
      <w:r>
        <w:t>Governance relevance: This is the only measure in the annual report identified for governing-body decision context because the Q4 rate is above each preceding quarter and above the FY2024 comparison rate. The report presents the trend and evidence limits for trustee consideration; it does not recommend a response.</w:t>
      </w:r>
    </w:p>
    <w:p>
      <w:r>
        <w:br w:type="page"/>
      </w:r>
    </w:p>
    <w:p>
      <w:r>
        <w:rPr>
          <w:b/>
          <w:color w:val="1F4E79"/>
          <w:sz w:val="28"/>
        </w:rPr>
        <w:t>Appendix: measure definitions and status language</w:t>
      </w:r>
    </w:p>
    <w:p>
      <w:r>
        <w:t>Status labels are descriptive: Stable means the current result is consistent with the prior comparison; Improving means the current result is higher than the prior comparison for a completion percentage; Current process identifies the process in force during the reported period; Transitional identifies overlap with incomplete evidence; Not yet in force identifies the intended end state after the reporting window; Concerning trend identifies a direction requiring governance attention without asserting a breach.</w:t>
      </w:r>
    </w:p>
    <w:p>
      <w:r>
        <w:t>Source basis: Goldfinch Alliance Annual QAPI Report, FY2025, aggregate service-line tables and transition appendix. Prepared by Sofia Sepulveda, RN Quality Lead, for Bekele Underwood and governing-body review in November.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