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67C80"/>
          <w:sz w:val="16"/>
        </w:rPr>
        <w:t>GOLDFINCH SYSTEMS</w:t>
      </w:r>
    </w:p>
    <w:p>
      <w:pPr>
        <w:spacing w:after="20"/>
      </w:pPr>
      <w:r>
        <w:rPr>
          <w:rFonts w:ascii="Aptos Display" w:hAnsi="Aptos Display"/>
          <w:b/>
          <w:color w:val="15395B"/>
          <w:sz w:val="40"/>
        </w:rPr>
        <w:t>Authority Exception Card</w:t>
      </w:r>
    </w:p>
    <w:p>
      <w:pPr>
        <w:spacing w:after="100"/>
      </w:pPr>
      <w:r>
        <w:rPr>
          <w:color w:val="596775"/>
          <w:sz w:val="16"/>
        </w:rPr>
        <w:t>Frontline stop • verify • escalate • release | Minnesota + North Dakota | current through 10/01/2025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72"/>
      </w:tblGrid>
      <w:tr>
        <w:tc>
          <w:tcPr>
            <w:tcW w:type="dxa" w:w="10972"/>
            <w:shd w:fill="E8F3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5395B"/>
                <w:sz w:val="16"/>
              </w:rPr>
              <w:t>DEFAULT: Owner ordering authority and patient-level PHI access stay OFF unless role-approved and current authority is confirmed. This is a Goldfinch safeguard; legal requirements below always apply.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7200"/>
      </w:tblGrid>
      <w:tr>
        <w:tc>
          <w:tcPr>
            <w:tcW w:type="dxa" w:w="5486"/>
            <w:vAlign w:val="center"/>
            <w:shd w:fill="A83D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STOP NOW</w:t>
            </w:r>
          </w:p>
        </w:tc>
        <w:tc>
          <w:tcPr>
            <w:tcW w:type="dxa" w:w="5486"/>
            <w:vAlign w:val="center"/>
            <w:shd w:fill="FFF3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2733"/>
                <w:sz w:val="16"/>
              </w:rPr>
              <w:t>Do not sign another person’s name, use a copied signature, or lend/use another person’s CSOS certificate or credentials. Do not proceed on unverified ownership/permit authority. Do not view or disclose PHI without a verified role, purpose, and minimum-necessary basis. Urgency, a deadline, loss, or owner instruction does not bypass these rules.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3"/>
        <w:gridCol w:w="2743"/>
        <w:gridCol w:w="2743"/>
        <w:gridCol w:w="2743"/>
      </w:tblGrid>
      <w:tr>
        <w:trPr>
          <w:tblHeader w:val="true"/>
        </w:trPr>
        <w:tc>
          <w:tcPr>
            <w:tcW w:type="dxa" w:w="2059"/>
            <w:vAlign w:val="center"/>
            <w:shd w:fill="246B9B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3168"/>
            <w:vAlign w:val="center"/>
            <w:shd w:fill="246B9B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1. Stop &amp; verify</w:t>
            </w:r>
          </w:p>
        </w:tc>
        <w:tc>
          <w:tcPr>
            <w:tcW w:type="dxa" w:w="2448"/>
            <w:vAlign w:val="center"/>
            <w:shd w:fill="246B9B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2. Route</w:t>
            </w:r>
          </w:p>
        </w:tc>
        <w:tc>
          <w:tcPr>
            <w:tcW w:type="dxa" w:w="2664"/>
            <w:vAlign w:val="center"/>
            <w:shd w:fill="246B9B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3. Release only when</w:t>
            </w:r>
          </w:p>
        </w:tc>
      </w:tr>
      <w:tr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Schedule II order; Form 222; CSOS; POA; local DEA registration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Stop if signer, POA, certificate, registration, or status is expired, revoked, unavailable, or cannot be confirmed. Never recreate under another identity.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PIC / pharmacy operations; controlled-substance compliance.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A current local registrant-linked authority and personal credential are verified, or an approved lawful alternative is documented. Delay if needed.</w:t>
            </w:r>
          </w:p>
        </w:tc>
      </w:tr>
      <w:tr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Schedule III–V order or controlled shipment receipt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Stop if assigned purchaser scope is unknown or receipt/order records do not reconcile.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PIC / pharmacy operations; controlled-substance compliance for discrepancy.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Assigned authority is confirmed and pharmacy security, record, receipt, and reconciliation controls are satisfied.</w:t>
            </w:r>
          </w:p>
        </w:tc>
      </w:tr>
      <w:tr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MN/ND ownership, entity, control, permit, location, or PIC change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Stop signing/closing/implementation when the approved state structure or filing requirement is not verified. ND exceptions/grandfathering are never assumed transferable.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Pharmacy legal / regulatory affairs; Board process as directed.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Current state structure plus required notice, approval, or application status are verified before action.</w:t>
            </w:r>
          </w:p>
        </w:tc>
      </w:tr>
      <w:tr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PIC conflict or owner instruction about regulated practice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Stop the disputed regulated action. The owner cannot override professional judgment or require a violation, false record, or unauthorized signer.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PIC, pharmacy operations, compliance/legal as needed.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A lawful resolution preserves PIC accountability and pharmacist judgment.</w:t>
            </w:r>
          </w:p>
        </w:tc>
      </w:tr>
      <w:tr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Patient-level PHI request or uncertain purpose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Withhold access/disclosure. Ownership, curiosity, relationships, disputes, marketing, and general oversight are insufficient.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Privacy officer / information security review.</w:t>
            </w:r>
          </w:p>
        </w:tc>
        <w:tc>
          <w:tcPr>
            <w:tcW w:type="dxa" w:w="2743"/>
            <w:vAlign w:val="center"/>
            <w:tcBorders>
              <w:top w:val="single" w:sz="4" w:color="C8D7E1"/>
              <w:left w:val="single" w:sz="4" w:color="C8D7E1"/>
              <w:bottom w:val="single" w:sz="4" w:color="C8D7E1"/>
              <w:right w:val="single" w:sz="4" w:color="C8D7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B2733"/>
                <w:sz w:val="14"/>
              </w:rPr>
              <w:t>Documented workforce role, permitted purpose, minimum-necessary scope and access approval—or another valid disclosure basis—is confirmed.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color w:val="15395B"/>
        </w:rPr>
        <w:t xml:space="preserve">Preserve, do not copy: </w:t>
      </w:r>
      <w:r>
        <w:t>requester, requested action, store, time, authority checked, credential/status, document or order identifier, and disposition. Do not copy passwords, private keys, CSOS credentials, signatures, or unnecessary PHI.</w:t>
      </w:r>
    </w:p>
    <w:p>
      <w:pPr>
        <w:spacing w:after="0"/>
      </w:pPr>
      <w:r>
        <w:rPr>
          <w:b/>
          <w:color w:val="15395B"/>
        </w:rPr>
        <w:t xml:space="preserve">Required legal rule: </w:t>
      </w:r>
      <w:r>
        <w:t>Use only verified current authority.  Goldfinch safeguard: retain the concise exception record and revalidate changed roles or credentials promptly.</w:t>
      </w:r>
    </w:p>
    <w:sectPr w:rsidR="00FC693F" w:rsidRPr="0006063C" w:rsidSect="00034616">
      <w:footerReference w:type="default" r:id="rId9"/>
      <w:pgSz w:w="12240" w:h="15840"/>
      <w:pgMar w:top="547" w:right="634" w:bottom="518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Authority Exception Card  |  Internal compliance resource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1B2733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