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HERONBANK ENGINEERING | THREE-YEAR COVERAGE ROADMAP</w:t>
      </w:r>
    </w:p>
    <w:p>
      <w:pPr>
        <w:jc w:val="center"/>
      </w:pPr>
      <w:r>
        <w:rPr>
          <w:i/>
          <w:sz w:val="16"/>
        </w:rPr>
        <w:t>Prepared by Hana Gilchrist, Nurse Practitioner, Kestrel Clinic  |  20 August 2026</w:t>
      </w:r>
    </w:p>
    <w:p>
      <w:pPr>
        <w:pStyle w:val="Heading1"/>
      </w:pPr>
      <w:r>
        <w:t>Decision in brief</w:t>
      </w:r>
    </w:p>
    <w:p>
      <w:r>
        <w:t>To Adrien Sandoval and the Heronbank budget committee: Kestrel should protect credible night coverage as demand develops. The plan schedules weekday night onsite care from Year 2, accepts that the current fixed fee becomes insufficient from that point, and makes any fee reset a documented commercial decision. This is a coverage-sustainability choice, not a promise of unlimited onsite care.</w:t>
      </w:r>
    </w:p>
    <w:tbl>
      <w:tblPr>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1F4E78"/>
          </w:tcPr>
          <w:p>
            <w:r>
              <w:rPr>
                <w:rFonts w:ascii="Arial" w:hAnsi="Arial"/>
                <w:b/>
                <w:sz w:val="16"/>
              </w:rPr>
              <w:t>Year</w:t>
            </w:r>
          </w:p>
        </w:tc>
        <w:tc>
          <w:tcPr>
            <w:tcW w:type="dxa" w:w="1776"/>
            <w:shd w:fill="1F4E78"/>
          </w:tcPr>
          <w:p>
            <w:r>
              <w:rPr>
                <w:rFonts w:ascii="Arial" w:hAnsi="Arial"/>
                <w:b/>
                <w:sz w:val="16"/>
              </w:rPr>
              <w:t>Planned onsite coverage</w:t>
            </w:r>
          </w:p>
        </w:tc>
        <w:tc>
          <w:tcPr>
            <w:tcW w:type="dxa" w:w="1776"/>
            <w:shd w:fill="1F4E78"/>
          </w:tcPr>
          <w:p>
            <w:r>
              <w:rPr>
                <w:rFonts w:ascii="Arial" w:hAnsi="Arial"/>
                <w:b/>
                <w:sz w:val="16"/>
              </w:rPr>
              <w:t>After-hours telehealth</w:t>
            </w:r>
          </w:p>
        </w:tc>
        <w:tc>
          <w:tcPr>
            <w:tcW w:type="dxa" w:w="1776"/>
            <w:shd w:fill="1F4E78"/>
          </w:tcPr>
          <w:p>
            <w:r>
              <w:rPr>
                <w:rFonts w:ascii="Arial" w:hAnsi="Arial"/>
                <w:b/>
                <w:sz w:val="16"/>
              </w:rPr>
              <w:t>Onsite NPs / hours</w:t>
            </w:r>
          </w:p>
        </w:tc>
        <w:tc>
          <w:tcPr>
            <w:tcW w:type="dxa" w:w="1776"/>
            <w:shd w:fill="1F4E78"/>
          </w:tcPr>
          <w:p>
            <w:r>
              <w:rPr>
                <w:rFonts w:ascii="Arial" w:hAnsi="Arial"/>
                <w:b/>
                <w:sz w:val="16"/>
              </w:rPr>
              <w:t>Fee basis / annual fee</w:t>
            </w:r>
          </w:p>
        </w:tc>
        <w:tc>
          <w:tcPr>
            <w:tcW w:type="dxa" w:w="1776"/>
            <w:shd w:fill="1F4E78"/>
          </w:tcPr>
          <w:p>
            <w:r>
              <w:rPr>
                <w:rFonts w:ascii="Arial" w:hAnsi="Arial"/>
                <w:b/>
                <w:sz w:val="16"/>
              </w:rPr>
              <w:t>Trigger / rationale</w:t>
            </w:r>
          </w:p>
        </w:tc>
      </w:tr>
      <w:tr>
        <w:tc>
          <w:tcPr>
            <w:tcW w:type="dxa" w:w="1776"/>
          </w:tcPr>
          <w:p>
            <w:r>
              <w:rPr>
                <w:rFonts w:ascii="Arial" w:hAnsi="Arial"/>
                <w:b w:val="0"/>
                <w:sz w:val="16"/>
              </w:rPr>
              <w:t>Year 1</w:t>
            </w:r>
          </w:p>
        </w:tc>
        <w:tc>
          <w:tcPr>
            <w:tcW w:type="dxa" w:w="1776"/>
          </w:tcPr>
          <w:p>
            <w:r>
              <w:rPr>
                <w:rFonts w:ascii="Arial" w:hAnsi="Arial"/>
                <w:b w:val="0"/>
                <w:sz w:val="16"/>
              </w:rPr>
              <w:t>Day/evening Mon-Fri, 10 h/day (2,600 h)</w:t>
            </w:r>
          </w:p>
        </w:tc>
        <w:tc>
          <w:tcPr>
            <w:tcW w:type="dxa" w:w="1776"/>
          </w:tcPr>
          <w:p>
            <w:r>
              <w:rPr>
                <w:rFonts w:ascii="Arial" w:hAnsi="Arial"/>
                <w:b w:val="0"/>
                <w:sz w:val="16"/>
              </w:rPr>
              <w:t>16 h/week; separate</w:t>
            </w:r>
          </w:p>
        </w:tc>
        <w:tc>
          <w:tcPr>
            <w:tcW w:type="dxa" w:w="1776"/>
          </w:tcPr>
          <w:p>
            <w:r>
              <w:rPr>
                <w:rFonts w:ascii="Arial" w:hAnsi="Arial"/>
                <w:b w:val="0"/>
                <w:sz w:val="16"/>
              </w:rPr>
              <w:t>2 / 2,600 h</w:t>
            </w:r>
          </w:p>
        </w:tc>
        <w:tc>
          <w:tcPr>
            <w:tcW w:type="dxa" w:w="1776"/>
          </w:tcPr>
          <w:p>
            <w:r>
              <w:rPr>
                <w:rFonts w:ascii="Arial" w:hAnsi="Arial"/>
                <w:b w:val="0"/>
                <w:sz w:val="16"/>
              </w:rPr>
              <w:t>$1,200 x 180 = $216,000</w:t>
            </w:r>
          </w:p>
        </w:tc>
        <w:tc>
          <w:tcPr>
            <w:tcW w:type="dxa" w:w="1776"/>
          </w:tcPr>
          <w:p>
            <w:r>
              <w:rPr>
                <w:rFonts w:ascii="Arial" w:hAnsi="Arial"/>
                <w:b w:val="0"/>
                <w:sz w:val="16"/>
              </w:rPr>
              <w:t>24 injuries, 8 referrals baseline; night group 20.</w:t>
            </w:r>
          </w:p>
        </w:tc>
      </w:tr>
      <w:tr>
        <w:tc>
          <w:tcPr>
            <w:tcW w:type="dxa" w:w="1776"/>
          </w:tcPr>
          <w:p>
            <w:r>
              <w:rPr>
                <w:rFonts w:ascii="Arial" w:hAnsi="Arial"/>
                <w:b w:val="0"/>
                <w:sz w:val="16"/>
              </w:rPr>
              <w:t>Year 2</w:t>
            </w:r>
          </w:p>
        </w:tc>
        <w:tc>
          <w:tcPr>
            <w:tcW w:type="dxa" w:w="1776"/>
          </w:tcPr>
          <w:p>
            <w:r>
              <w:rPr>
                <w:rFonts w:ascii="Arial" w:hAnsi="Arial"/>
                <w:b w:val="0"/>
                <w:sz w:val="16"/>
              </w:rPr>
              <w:t>Year 1 plus weekday nights, 8 h/night (4,680 h)</w:t>
            </w:r>
          </w:p>
        </w:tc>
        <w:tc>
          <w:tcPr>
            <w:tcW w:type="dxa" w:w="1776"/>
          </w:tcPr>
          <w:p>
            <w:r>
              <w:rPr>
                <w:rFonts w:ascii="Arial" w:hAnsi="Arial"/>
                <w:b w:val="0"/>
                <w:sz w:val="16"/>
              </w:rPr>
              <w:t>16 h/week; unchanged</w:t>
            </w:r>
          </w:p>
        </w:tc>
        <w:tc>
          <w:tcPr>
            <w:tcW w:type="dxa" w:w="1776"/>
          </w:tcPr>
          <w:p>
            <w:r>
              <w:rPr>
                <w:rFonts w:ascii="Arial" w:hAnsi="Arial"/>
                <w:b w:val="0"/>
                <w:sz w:val="16"/>
              </w:rPr>
              <w:t>3 / 4,680 h</w:t>
            </w:r>
          </w:p>
        </w:tc>
        <w:tc>
          <w:tcPr>
            <w:tcW w:type="dxa" w:w="1776"/>
          </w:tcPr>
          <w:p>
            <w:r>
              <w:rPr>
                <w:rFonts w:ascii="Arial" w:hAnsi="Arial"/>
                <w:b w:val="0"/>
                <w:sz w:val="16"/>
              </w:rPr>
              <w:t>$1,200 x 195 = $234,000</w:t>
            </w:r>
          </w:p>
        </w:tc>
        <w:tc>
          <w:tcPr>
            <w:tcW w:type="dxa" w:w="1776"/>
          </w:tcPr>
          <w:p>
            <w:r>
              <w:rPr>
                <w:rFonts w:ascii="Arial" w:hAnsi="Arial"/>
                <w:b w:val="0"/>
                <w:sz w:val="16"/>
              </w:rPr>
              <w:t>Night group 35; 15% demand scenario; add NP.</w:t>
            </w:r>
          </w:p>
        </w:tc>
      </w:tr>
      <w:tr>
        <w:tc>
          <w:tcPr>
            <w:tcW w:type="dxa" w:w="1776"/>
          </w:tcPr>
          <w:p>
            <w:r>
              <w:rPr>
                <w:rFonts w:ascii="Arial" w:hAnsi="Arial"/>
                <w:b w:val="0"/>
                <w:sz w:val="16"/>
              </w:rPr>
              <w:t>Year 3</w:t>
            </w:r>
          </w:p>
        </w:tc>
        <w:tc>
          <w:tcPr>
            <w:tcW w:type="dxa" w:w="1776"/>
          </w:tcPr>
          <w:p>
            <w:r>
              <w:rPr>
                <w:rFonts w:ascii="Arial" w:hAnsi="Arial"/>
                <w:b w:val="0"/>
                <w:sz w:val="16"/>
              </w:rPr>
              <w:t>Year 2 schedule retained; no weekend onsite contracted</w:t>
            </w:r>
          </w:p>
        </w:tc>
        <w:tc>
          <w:tcPr>
            <w:tcW w:type="dxa" w:w="1776"/>
          </w:tcPr>
          <w:p>
            <w:r>
              <w:rPr>
                <w:rFonts w:ascii="Arial" w:hAnsi="Arial"/>
                <w:b w:val="0"/>
                <w:sz w:val="16"/>
              </w:rPr>
              <w:t>24 h/week; contingent remote</w:t>
            </w:r>
          </w:p>
        </w:tc>
        <w:tc>
          <w:tcPr>
            <w:tcW w:type="dxa" w:w="1776"/>
          </w:tcPr>
          <w:p>
            <w:r>
              <w:rPr>
                <w:rFonts w:ascii="Arial" w:hAnsi="Arial"/>
                <w:b w:val="0"/>
                <w:sz w:val="16"/>
              </w:rPr>
              <w:t>3 / 4,680 h</w:t>
            </w:r>
          </w:p>
        </w:tc>
        <w:tc>
          <w:tcPr>
            <w:tcW w:type="dxa" w:w="1776"/>
          </w:tcPr>
          <w:p>
            <w:r>
              <w:rPr>
                <w:rFonts w:ascii="Arial" w:hAnsi="Arial"/>
                <w:b w:val="0"/>
                <w:sz w:val="16"/>
              </w:rPr>
              <w:t>$1,200 x 210 = $252,000</w:t>
            </w:r>
          </w:p>
        </w:tc>
        <w:tc>
          <w:tcPr>
            <w:tcW w:type="dxa" w:w="1776"/>
          </w:tcPr>
          <w:p>
            <w:r>
              <w:rPr>
                <w:rFonts w:ascii="Arial" w:hAnsi="Arial"/>
                <w:b w:val="0"/>
                <w:sz w:val="16"/>
              </w:rPr>
              <w:t>Night group 50; weekend onsite only if trigger met.</w:t>
            </w:r>
          </w:p>
        </w:tc>
      </w:tr>
    </w:tbl>
    <w:p>
      <w:pPr>
        <w:pStyle w:val="Heading1"/>
      </w:pPr>
      <w:r>
        <w:t>Financial and staffing implication</w:t>
      </w:r>
    </w:p>
    <w:p>
      <w:r>
        <w:t>The supplied policy caps scheduled onsite work at 1,560 hours per NP per year and prices loaded NP time at $58/hour. Staffing cost is $150,800 in Year 1 (2,600 h), $271,440 in Year 2 (4,680 h), and $271,440 in Year 3. Against the per-employee fee, fee less onsite staffing cost is +$65,200, -$37,440, and -$19,440. The tension becomes material in Year 2, when night hours add 2,080 hours while the fee grows only with headcount. A fee reset or other approved funding is required to sustain the schedule; the recommendation does not hide that consequence.</w:t>
      </w:r>
    </w:p>
    <w:p>
      <w:pPr>
        <w:pStyle w:val="Heading1"/>
      </w:pPr>
      <w:r>
        <w:t>Service boundary: must vs should refer</w:t>
      </w:r>
    </w:p>
    <w:p>
      <w:r>
        <w:t>Kestrel must provide scheduled occupational triage, basic assessment within NP scope, first aid, work-health education, contemporaneous documentation, and a clear handoff. Kestrel should refer or escalate when outside scope: emergencies go to 911/site emergency response and the emergency department; non-emergency needs go to the appropriate external clinician. Referral and after-hours telehealth support are not onsite care. The NP service does not authorize emergency response, emergency stabilization, unrestricted diagnosis or treatment, or a guarantee of 24/7 physical presence.</w:t>
      </w:r>
    </w:p>
    <w:p>
      <w:r>
        <w:t>The informal January message that Kestrel would provide “24/7 onsite coverage” is narrowed by this formal roadmap: weekday night onsite coverage is planned from Year 2, while remote after-hours support and external escalation cover remaining hours. Any broader physical presence requires separately approved scope and fee.</w:t>
      </w:r>
    </w:p>
    <w:p>
      <w:pPr>
        <w:pStyle w:val="Heading1"/>
      </w:pPr>
      <w:r>
        <w:t>Assumptions, review points and ownership</w:t>
      </w:r>
    </w:p>
    <w:p>
      <w:r>
        <w:t>Source facts are the supplied operational records and policy in heronbank_coverage_inputs.xlsx: the launch roster is 120 day, 40 evening and 20 night employees; baseline demand is 24 injury encounters, 8 referrals and 14 after-hours contacts. Deliberate scenario assumptions are 15% annual growth in injury encounters, referrals and after-hours contacts; employee basis 180/195/210; and night employees 20/35/50. Projected demand is rounded to whole encounters and does not double-count referrals as injuries. The workbook exposes each input and formula.</w:t>
      </w:r>
    </w:p>
    <w:p>
      <w:r>
        <w:t>Hana (Kestrel) will report quarterly utilization and handoffs; Adrien (Heronbank) owns roster and budget confirmation. Reassess each quarter-end. If night injury encounters exceed 12 in each of two consecutive quarters, or if two consecutive quarters require more than the modeled 4,680 onsite hours/year run-rate, Adrien and Hana must reopen the night schedule and fee before adding coverage. The principal uncertainty is actual night utilization; changing the 15% growth or night-employee inputs changes hours, clinician count and the fee test.</w:t>
      </w:r>
    </w:p>
    <w:p>
      <w:pPr>
        <w:pStyle w:val="Heading1"/>
      </w:pPr>
      <w:r>
        <w:t>Recommendation</w:t>
      </w:r>
    </w:p>
    <w:p>
      <w:r>
        <w:t>Approve the three-year roadmap as a coverage-sustainability plan: start with 2,600 weekday day/evening onsite hours in Year 1, add 2,080 weekday night hours and a third NP in Year 2, retain that onsite schedule in Year 3, and treat weekend expansion as contingent. Record the current $1,200-per-employee fee as the initial basis and authorize a Year 2 commercial review because the modeled fee no longer covers onsite staffing cost.</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