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California and Nevada Wage Claim Guidance Snapshot</w:t>
      </w:r>
    </w:p>
    <w:p>
      <w:r>
        <w:t>Internal compliance guidance | Effective at 30 June 2025 | Offline reference</w:t>
      </w:r>
    </w:p>
    <w:p>
      <w:pPr>
        <w:pStyle w:val="Heading1"/>
      </w:pPr>
      <w:r>
        <w:t>California treatment</w:t>
      </w:r>
    </w:p>
    <w:p>
      <w:r>
        <w:t>California wage claims for wages earned on or before the measurement date are within scope when the record indicates wages are due and no reliable payment or settlement evidence is present. Explicit payroll, payment, or settlement evidence supports exclusion from recognized unpaid-wage liability. Administrative labels such as “Paid,” “Closed,” or “Settled” are not, by themselves, evidence of payment. Duplicate records should be counted once, with lineage retained. If personnel support is absent or insufficient, the amount remains unresolved; absence of support is not evidence that nothing is owed.</w:t>
      </w:r>
    </w:p>
    <w:p>
      <w:pPr>
        <w:pStyle w:val="Heading1"/>
      </w:pPr>
      <w:r>
        <w:t>Nevada comparison</w:t>
      </w:r>
    </w:p>
    <w:p>
      <w:r>
        <w:t>Nevada claims are governed by Nevada requirements and are outside a California-only measurement. They may be shown for comparison but must not be included in the California liability total. The same evidence distinctions apply: an explicit payment or settlement record supports exclusion, while an unsupported record remains unresolved.</w:t>
      </w:r>
    </w:p>
    <w:p>
      <w:pPr>
        <w:pStyle w:val="Heading1"/>
      </w:pPr>
      <w:r>
        <w:t>Measurement boundary and amounts</w:t>
      </w:r>
    </w:p>
    <w:p>
      <w:r>
        <w:t>Use the 30 June 2025 measurement date: later earning dates are outside this measured population. Recognized amounts are the supported claimed gross wages only. This snapshot does not direct additions for penalties, interest, or other amounts.</w:t>
      </w:r>
    </w:p>
    <w:p>
      <w:r>
        <w:t>Reference passages: California treatment (paragraph 2), Nevada comparison (paragraph 3), measurement boundary and amounts (paragraph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