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Medicine-Cabinet Clean-Out Workshop</w:t>
      </w:r>
    </w:p>
    <w:p>
      <w:pPr>
        <w:pStyle w:val="Subtitle"/>
      </w:pPr>
      <w:r>
        <w:t>Facilitator guide • Four Saturday sessions, fall • Lanternwood Components community room</w:t>
      </w:r>
    </w:p>
    <w:p>
      <w:r>
        <w:t>Prepared by Hedda Stavropoulos, Community Pharmacist, for the Gildenhall Practice frontline team. 45 minutes • up to 20 members • print this guide and the participant panel on page 3.</w:t>
      </w:r>
    </w:p>
    <w:p>
      <w:pPr>
        <w:pStyle w:val="Heading1"/>
      </w:pPr>
      <w:r>
        <w:t>Concept and operating boundary</w:t>
      </w:r>
    </w:p>
    <w:p>
      <w:r>
        <w:t>This is a calm, practical group workshop for members with mixed experience and literacy who want a safer, easier-to-use home medicine storage space. It helps people make an organisation plan, recognise when an item needs private professional follow-up, and leave knowing the next safe question to ask. Use short sentences, show the printed prompts, invite—not require—participation, and never ask people to explain their health.</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3024"/>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Purpose</w:t>
            </w:r>
          </w:p>
        </w:tc>
        <w:tc>
          <w:tcPr>
            <w:tcW w:type="dxa" w:w="367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What success looks like</w:t>
            </w:r>
          </w:p>
        </w:tc>
        <w:tc>
          <w:tcPr>
            <w:tcW w:type="dxa" w:w="367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Not this workshop</w:t>
            </w:r>
          </w:p>
        </w:tc>
      </w:tr>
      <w:tr>
        <w:tc>
          <w:tcPr>
            <w:tcW w:type="dxa" w:w="302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Reduce clutter and mix-ups by planning a simple cabinet sort at home.</w:t>
            </w:r>
          </w:p>
        </w:tc>
        <w:tc>
          <w:tcPr>
            <w:tcW w:type="dxa" w:w="367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A member can name a private place to sort, keep medicines with their own packaging, use the “pause and ask” rule, and identify a disposal/referral next step.</w:t>
            </w:r>
          </w:p>
        </w:tc>
        <w:tc>
          <w:tcPr>
            <w:tcW w:type="dxa" w:w="367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Not an individual medication review, treatment discussion, disposal event, or a place to decide what someone should take.</w:t>
            </w:r>
          </w:p>
        </w:tc>
      </w:tr>
    </w:tbl>
    <w:p>
      <w:pPr>
        <w:spacing w:after="0"/>
      </w:pPr>
    </w:p>
    <w:p>
      <w:pPr>
        <w:pStyle w:val="Heading1"/>
      </w:pPr>
      <w:r>
        <w:t>What “clean-out” means here</w:t>
      </w:r>
    </w:p>
    <w:p>
      <w:r>
        <w:t>“Clean-out” has two meanings. One is cabinet organisation: making a calm inventory and setting up a safe storage space. The other is disposal: sending an item through the applicable authorised disposal channel. In this workshop, clean-out means a bounded organisation-and-decision-preparation activity. Members practise a paper sorting plan and learn when to seek a disposal channel; they do not dispose of medicines here. Organisation does not determine whether any medicine is clinically appropriate.</w:t>
      </w:r>
    </w:p>
    <w:tbl>
      <w:tblPr>
        <w:tblW w:type="auto" w:w="0"/>
        <w:tblLook w:firstColumn="1" w:firstRow="1" w:lastColumn="0" w:lastRow="0" w:noHBand="0" w:noVBand="1" w:val="04A0"/>
      </w:tblPr>
      <w:tblGrid>
        <w:gridCol w:w="10858"/>
      </w:tblGrid>
      <w:tr>
        <w:tc>
          <w:tcPr>
            <w:tcW w:type="dxa" w:w="10858"/>
            <w:shd w:fill="E7F3F1"/>
            <w:tcBorders>
              <w:top w:val="single" w:sz="4" w:color="77AAA6"/>
              <w:left w:val="single" w:sz="4" w:color="77AAA6"/>
              <w:bottom w:val="single" w:sz="4" w:color="77AAA6"/>
              <w:right w:val="single" w:sz="4" w:color="77AAA6"/>
            </w:tcBorders>
            <w:tcMar>
              <w:top w:w="100" w:type="dxa"/>
              <w:start w:w="120" w:type="dxa"/>
              <w:bottom w:w="100" w:type="dxa"/>
              <w:end w:w="120" w:type="dxa"/>
            </w:tcMar>
          </w:tcPr>
          <w:p>
            <w:r>
              <w:rPr>
                <w:b/>
                <w:color w:val="00605C"/>
              </w:rPr>
              <w:t xml:space="preserve">DOCTRINAL LIMIT.  </w:t>
            </w:r>
            <w:r>
              <w:t>This workshop is not a substitute for a prescriber, pharmacist, emergency service, or local disposal authority. A facilitator cannot authorize a medicine to be started, stopped, reused, transferred, or discarded because it appears old, unwanted, or familiar.</w:t>
            </w:r>
          </w:p>
        </w:tc>
      </w:tr>
    </w:tbl>
    <w:p>
      <w:pPr>
        <w:pStyle w:val="Heading1"/>
      </w:pPr>
      <w:r>
        <w:t>Core rules — say before any activity</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5184"/>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Members may</w:t>
            </w:r>
          </w:p>
        </w:tc>
        <w:tc>
          <w:tcPr>
            <w:tcW w:type="dxa" w:w="5184"/>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Members need a private conversation / referral when</w:t>
            </w:r>
          </w:p>
        </w:tc>
      </w:tr>
      <w:tr>
        <w:tc>
          <w:tcPr>
            <w:tcW w:type="dxa" w:w="518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Use the paper plan; talk generally about storage; keep their own medicines in their possession and in packaging; choose a later time and private place to sort at home.</w:t>
            </w:r>
          </w:p>
        </w:tc>
        <w:tc>
          <w:tcPr>
            <w:tcW w:type="dxa" w:w="518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The question concerns their own medicine, dose, whether to stop/continue, sharing, identity, expiry, a damaged item, disposal route, or personal health situation.</w:t>
            </w:r>
          </w:p>
        </w:tc>
      </w:tr>
      <w:tr>
        <w:tc>
          <w:tcPr>
            <w:tcW w:type="dxa" w:w="518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Ask general process questions; pass at any time.</w:t>
            </w:r>
          </w:p>
        </w:tc>
        <w:tc>
          <w:tcPr>
            <w:tcW w:type="dxa" w:w="518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There are urgent symptoms, poisoning, overdose, or immediate danger: stop the workshop conversation and contact emergency or poison-support services as appropriate.</w:t>
            </w:r>
          </w:p>
        </w:tc>
      </w:tr>
    </w:tbl>
    <w:p>
      <w:pPr>
        <w:spacing w:after="0"/>
      </w:pPr>
    </w:p>
    <w:p>
      <w:r>
        <w:t>Never identify or judge a medicine solely from an unverified appearance, a label fragment, or a participant guess. Do not taste, take, open, crush, or otherwise use medicines as part of this activity.</w:t>
      </w:r>
    </w:p>
    <w:p>
      <w:r>
        <w:br w:type="page"/>
      </w:r>
    </w:p>
    <w:p>
      <w:pPr>
        <w:pStyle w:val="Title"/>
      </w:pPr>
      <w:r>
        <w:t>Run of Show</w:t>
      </w:r>
    </w:p>
    <w:p>
      <w:pPr>
        <w:pStyle w:val="Subtitle"/>
      </w:pPr>
      <w:r>
        <w:t>45 minutes exactly • one facilitator • questions stay bounded</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79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Time</w:t>
            </w:r>
          </w:p>
        </w:tc>
        <w:tc>
          <w:tcPr>
            <w:tcW w:type="dxa" w:w="720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Facilitator action and words</w:t>
            </w:r>
          </w:p>
        </w:tc>
        <w:tc>
          <w:tcPr>
            <w:tcW w:type="dxa" w:w="237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Room-management cue</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0–5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Welcome and orient. “You may participate or simply listen; participation is voluntary. Please do not display personal labels, names, or health details to the group.” Read the core rules.</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Point to the privacy/safety panel. Invite bags to stay closed and with their owners.</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5–10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Define clean-out. Demonstrate the paper plan only: Keep storage area / Ask privately / Find authorised disposal guidance. “These headings help organise a question; they do not decide whether a medicine is right for you.”</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Use blank cards or pictured household items—not participant medicines.</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10–20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Cabinet set-up activity. Members mark their own plan: a private, dry storage place; a “pause and ask” spot; a reminder to keep packaging together.</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Pairs may discuss the plan, not medicines. Circulate for process help only.</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20–30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Sorting rehearsal. Read two general situations and ask, “Which heading fits: organise, ask privately, or find a disposal channel?” Reinforce the stop condition.</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If a member produces an item, pause that interaction: keep it with its owner; move to the private path.</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30–38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Bounded questions. “I can take general process questions for eight minutes. Personal questions go on the private list, not into the room conversation.”</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One question at a time; use a visible 8-minute timer.</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38–43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Private-path and disposal closeout. Repeat that disposal depends on the applicable disposal channel; the workshop is not the disposal authority.</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Collect no medicines. Hand out referral prompt.</w:t>
            </w:r>
          </w:p>
        </w:tc>
      </w:tr>
      <w:tr>
        <w:tc>
          <w:tcPr>
            <w:tcW w:type="dxa" w:w="7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43–45 min</w:t>
            </w:r>
          </w:p>
        </w:tc>
        <w:tc>
          <w:tcPr>
            <w:tcW w:type="dxa" w:w="720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Close. Ask one anonymous usefulness/process check. State the final operating position on page 6.</w:t>
            </w:r>
          </w:p>
        </w:tc>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Thank members; keep sign-in separate from feedback.</w:t>
            </w:r>
          </w:p>
        </w:tc>
      </w:tr>
    </w:tbl>
    <w:p>
      <w:pPr>
        <w:spacing w:after="0"/>
      </w:pPr>
    </w:p>
    <w:p>
      <w:pPr>
        <w:pStyle w:val="Heading1"/>
      </w:pPr>
      <w:r>
        <w:t>Exact transition language</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37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When…</w:t>
            </w:r>
          </w:p>
        </w:tc>
        <w:tc>
          <w:tcPr>
            <w:tcW w:type="dxa" w:w="799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Say…</w:t>
            </w:r>
          </w:p>
        </w:tc>
      </w:tr>
      <w:tr>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A personal story begins</w:t>
            </w:r>
          </w:p>
        </w:tc>
        <w:tc>
          <w:tcPr>
            <w:tcW w:type="dxa" w:w="79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“Thank you for trusting us. I want to protect your privacy, so let’s pause the details here. We can use the private path after the group, or you can contact your pharmacist/prescriber.”</w:t>
            </w:r>
          </w:p>
        </w:tc>
      </w:tr>
      <w:tr>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A question needs more than a minute</w:t>
            </w:r>
          </w:p>
        </w:tc>
        <w:tc>
          <w:tcPr>
            <w:tcW w:type="dxa" w:w="79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“That deserves proper attention, and this group cannot safely answer it. I’m noting only the topic—not your medicine name—for the private path. Let’s return to the next step on the plan.”</w:t>
            </w:r>
          </w:p>
        </w:tc>
      </w:tr>
      <w:tr>
        <w:tc>
          <w:tcPr>
            <w:tcW w:type="dxa" w:w="23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Someone presses for an answer</w:t>
            </w:r>
          </w:p>
        </w:tc>
        <w:tc>
          <w:tcPr>
            <w:tcW w:type="dxa" w:w="799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“I hear that you want an answer now. I cannot make that decision from this room, and I do not want to guess. The safe next step is a private conversation with the appropriate professional or authorised service.”</w:t>
            </w:r>
          </w:p>
        </w:tc>
      </w:tr>
    </w:tbl>
    <w:p>
      <w:pPr>
        <w:spacing w:after="0"/>
      </w:pPr>
    </w:p>
    <w:tbl>
      <w:tblPr>
        <w:tblW w:type="auto" w:w="0"/>
        <w:tblLook w:firstColumn="1" w:firstRow="1" w:lastColumn="0" w:lastRow="0" w:noHBand="0" w:noVBand="1" w:val="04A0"/>
      </w:tblPr>
      <w:tblGrid>
        <w:gridCol w:w="10858"/>
      </w:tblGrid>
      <w:tr>
        <w:tc>
          <w:tcPr>
            <w:tcW w:type="dxa" w:w="10858"/>
            <w:shd w:fill="E7F3F1"/>
            <w:tcBorders>
              <w:top w:val="single" w:sz="4" w:color="77AAA6"/>
              <w:left w:val="single" w:sz="4" w:color="77AAA6"/>
              <w:bottom w:val="single" w:sz="4" w:color="77AAA6"/>
              <w:right w:val="single" w:sz="4" w:color="77AAA6"/>
            </w:tcBorders>
            <w:tcMar>
              <w:top w:w="100" w:type="dxa"/>
              <w:start w:w="120" w:type="dxa"/>
              <w:bottom w:w="100" w:type="dxa"/>
              <w:end w:w="120" w:type="dxa"/>
            </w:tcMar>
          </w:tcPr>
          <w:p>
            <w:r>
              <w:rPr>
                <w:b/>
                <w:color w:val="00605C"/>
              </w:rPr>
              <w:t xml:space="preserve">STOP CONDITION.  </w:t>
            </w:r>
            <w:r>
              <w:t>Stop any group handling immediately if there is uncertainty, an unidentified or sensitive item, damage/leakage, a personal clinical question, pressure for a decision, or an item is placed on the table. Do not pass it around. Keep it with its owner; use the private/referral path.</w:t>
            </w:r>
          </w:p>
        </w:tc>
      </w:tr>
    </w:tbl>
    <w:p>
      <w:r>
        <w:br w:type="page"/>
      </w:r>
    </w:p>
    <w:p>
      <w:pPr>
        <w:pStyle w:val="Title"/>
      </w:pPr>
      <w:r>
        <w:t>Participant Panel — Take This Home</w:t>
      </w:r>
    </w:p>
    <w:p>
      <w:pPr>
        <w:pStyle w:val="Subtitle"/>
      </w:pPr>
      <w:r>
        <w:t>Plain-language handout / display at the table</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6"/>
              </w:rPr>
              <w:t>BEFORE YOU COME</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6"/>
              </w:rPr>
              <w:t>IN THE ROOM</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6"/>
              </w:rPr>
              <w:t>AT HOME</w:t>
            </w:r>
          </w:p>
        </w:tc>
      </w:tr>
      <w:tr>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6"/>
              </w:rPr>
              <w:t>Bring a question or your paper list—not a bag of medicines. If you bring a medicine by mistake, keep it closed, with you, and out of view.</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6"/>
              </w:rPr>
              <w:t>You may join in or just listen. Do not put medicines on the table. Do not show labels. Do not read names or health details aloud.</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6"/>
              </w:rPr>
              <w:t>Choose a private time and place. Keep each medicine in its own packaging. Use the plan to organise; do not use it to decide what to take or stop.</w:t>
            </w:r>
          </w:p>
        </w:tc>
      </w:tr>
    </w:tbl>
    <w:p>
      <w:pPr>
        <w:spacing w:after="0"/>
      </w:pPr>
    </w:p>
    <w:p>
      <w:pPr>
        <w:pStyle w:val="Heading1"/>
      </w:pPr>
      <w:r>
        <w:t>Three simple steps</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1. Organise your space</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2. Pause and ask</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3. Find the right channel</w:t>
            </w:r>
          </w:p>
        </w:tc>
      </w:tr>
      <w:tr>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Choose a dry, private place away from children, visitors, heat, and moisture. Keep medicines with their packaging.</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If you are unsure what an item is, whether to use it, or whether it is damaged, expired, refrigerated, controlled, or personal to someone else: stop. Keep it secure and ask privately.</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For disposal, ask an appropriate pharmacist or disposal authority about the applicable authorised channel. The workshop does not collect or dispose of medicines.</w:t>
            </w:r>
          </w:p>
        </w:tc>
      </w:tr>
    </w:tbl>
    <w:p>
      <w:pPr>
        <w:spacing w:after="0"/>
      </w:pPr>
    </w:p>
    <w:p>
      <w:pPr>
        <w:pStyle w:val="Heading1"/>
      </w:pPr>
      <w:r>
        <w:t>Words the facilitator can use</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448"/>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If you ask…</w:t>
            </w:r>
          </w:p>
        </w:tc>
        <w:tc>
          <w:tcPr>
            <w:tcW w:type="dxa" w:w="792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The facilitator will say…</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“Should I stop or keep taking this?”</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“I can’t advise on your individual medicine in this group. Please keep it as it is and speak privately with your pharmacist or prescriber. If there is immediate danger, seek emergency help.”</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“Can I give this to someone else?”</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“Please do not share or transfer it. I can’t authorise that. Keep it with its owner and use a private professional conversation for the next step.”</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“Can I throw this away now?”</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“Please don’t make a disposal decision from the workshop. Keep it secure and ask the applicable authorised disposal channel; methods vary by item and place.”</w:t>
            </w:r>
          </w:p>
        </w:tc>
      </w:tr>
    </w:tbl>
    <w:p>
      <w:pPr>
        <w:spacing w:after="0"/>
      </w:pPr>
    </w:p>
    <w:p>
      <w:pPr>
        <w:pStyle w:val="Heading1"/>
      </w:pPr>
      <w:r>
        <w:t>Privacy and urgent help</w:t>
      </w:r>
    </w:p>
    <w:p>
      <w:r>
        <w:t>Personal medication labels, names, and health details should not be read aloud or recorded for group purposes. Photographs of labels or medicines are not needed for attendance or feedback. If there is poisoning, overdose, urgent symptoms, or immediate danger, leave the workshop pathway and contact emergency or poison-support services as appropriate.</w:t>
      </w:r>
    </w:p>
    <w:tbl>
      <w:tblPr>
        <w:tblW w:type="auto" w:w="0"/>
        <w:tblLook w:firstColumn="1" w:firstRow="1" w:lastColumn="0" w:lastRow="0" w:noHBand="0" w:noVBand="1" w:val="04A0"/>
      </w:tblPr>
      <w:tblGrid>
        <w:gridCol w:w="10858"/>
      </w:tblGrid>
      <w:tr>
        <w:tc>
          <w:tcPr>
            <w:tcW w:type="dxa" w:w="10858"/>
            <w:shd w:fill="FFF4D9"/>
            <w:tcBorders>
              <w:top w:val="single" w:sz="4" w:color="77AAA6"/>
              <w:left w:val="single" w:sz="4" w:color="77AAA6"/>
              <w:bottom w:val="single" w:sz="4" w:color="77AAA6"/>
              <w:right w:val="single" w:sz="4" w:color="77AAA6"/>
            </w:tcBorders>
            <w:tcMar>
              <w:top w:w="100" w:type="dxa"/>
              <w:start w:w="120" w:type="dxa"/>
              <w:bottom w:w="100" w:type="dxa"/>
              <w:end w:w="120" w:type="dxa"/>
            </w:tcMar>
          </w:tcPr>
          <w:p>
            <w:r>
              <w:rPr>
                <w:b/>
                <w:color w:val="00605C"/>
              </w:rPr>
              <w:t xml:space="preserve">REMEMBER.  </w:t>
            </w:r>
            <w:r>
              <w:t>The activity teaches safe handling and next steps. It does not give permission to act on a specific medicine. If in doubt: pause, keep it secure, and ask privately.</w:t>
            </w:r>
          </w:p>
        </w:tc>
      </w:tr>
    </w:tbl>
    <w:p>
      <w:r>
        <w:br w:type="page"/>
      </w:r>
    </w:p>
    <w:p>
      <w:pPr>
        <w:pStyle w:val="Title"/>
      </w:pPr>
      <w:r>
        <w:t>Item Handling and Escalation</w:t>
      </w:r>
    </w:p>
    <w:p>
      <w:pPr>
        <w:pStyle w:val="Subtitle"/>
      </w:pPr>
      <w:r>
        <w:t>The facilitator does not take custody of participant medicines</w:t>
      </w:r>
    </w:p>
    <w:p>
      <w:r>
        <w:t>Default: do not invite medicines into the room. If one appears, do not inspect it, read its label aloud, pass it around, or place it in a communal disposal container. The owner keeps possession and packaging unless an authorised channel and process are already established. No such arrangement is assumed for this program.</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52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If an item is…</w:t>
            </w:r>
          </w:p>
        </w:tc>
        <w:tc>
          <w:tcPr>
            <w:tcW w:type="dxa" w:w="403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Group action</w:t>
            </w:r>
          </w:p>
        </w:tc>
        <w:tc>
          <w:tcPr>
            <w:tcW w:type="dxa" w:w="381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Private/referral action</w:t>
            </w:r>
          </w:p>
        </w:tc>
      </w:tr>
      <w:tr>
        <w:tc>
          <w:tcPr>
            <w:tcW w:type="dxa" w:w="25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Unidentified, loose, or label partly missing</w:t>
            </w:r>
          </w:p>
        </w:tc>
        <w:tc>
          <w:tcPr>
            <w:tcW w:type="dxa" w:w="403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Keep out of the group activity. Do not guess identity from appearance, fragment, or memory.</w:t>
            </w:r>
          </w:p>
        </w:tc>
        <w:tc>
          <w:tcPr>
            <w:tcW w:type="dxa" w:w="381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Owner keeps it secure; refer for appropriate professional handling.</w:t>
            </w:r>
          </w:p>
        </w:tc>
      </w:tr>
      <w:tr>
        <w:tc>
          <w:tcPr>
            <w:tcW w:type="dxa" w:w="25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Expired or no longer wanted</w:t>
            </w:r>
          </w:p>
        </w:tc>
        <w:tc>
          <w:tcPr>
            <w:tcW w:type="dxa" w:w="403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Do not say it is safe to use or safe to discard because of date alone.</w:t>
            </w:r>
          </w:p>
        </w:tc>
        <w:tc>
          <w:tcPr>
            <w:tcW w:type="dxa" w:w="381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Refer to the applicable authorised disposal channel; it determines disposition.</w:t>
            </w:r>
          </w:p>
        </w:tc>
      </w:tr>
      <w:tr>
        <w:tc>
          <w:tcPr>
            <w:tcW w:type="dxa" w:w="25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Damaged, leaking, contaminated, or compromised</w:t>
            </w:r>
          </w:p>
        </w:tc>
        <w:tc>
          <w:tcPr>
            <w:tcW w:type="dxa" w:w="403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Do not handle as an ordinary item. Stop the activity around it; do not pass it around.</w:t>
            </w:r>
          </w:p>
        </w:tc>
        <w:tc>
          <w:tcPr>
            <w:tcW w:type="dxa" w:w="381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Isolate from ordinary handling without taking custody; seek appropriate professional/authorised advice.</w:t>
            </w:r>
          </w:p>
        </w:tc>
      </w:tr>
      <w:tr>
        <w:tc>
          <w:tcPr>
            <w:tcW w:type="dxa" w:w="25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Refrigerated or temperature-sensitive</w:t>
            </w:r>
          </w:p>
        </w:tc>
        <w:tc>
          <w:tcPr>
            <w:tcW w:type="dxa" w:w="403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Do not treat as a room-temperature sorting item or keep it on the table.</w:t>
            </w:r>
          </w:p>
        </w:tc>
        <w:tc>
          <w:tcPr>
            <w:tcW w:type="dxa" w:w="381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4"/>
              </w:rPr>
              <w:t>Return it to appropriate storage promptly; refer privately for item-specific guidance.</w:t>
            </w:r>
          </w:p>
        </w:tc>
      </w:tr>
      <w:tr>
        <w:tc>
          <w:tcPr>
            <w:tcW w:type="dxa" w:w="25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Controlled or otherwise sensitive</w:t>
            </w:r>
          </w:p>
        </w:tc>
        <w:tc>
          <w:tcPr>
            <w:tcW w:type="dxa" w:w="403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No group discussion of labels or ordinary binning. Stop public handling and protect privacy.</w:t>
            </w:r>
          </w:p>
        </w:tc>
        <w:tc>
          <w:tcPr>
            <w:tcW w:type="dxa" w:w="381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Keep secure with the owner and route to appropriate professional or authorised support.</w:t>
            </w:r>
          </w:p>
        </w:tc>
      </w:tr>
    </w:tbl>
    <w:p>
      <w:pPr>
        <w:spacing w:after="0"/>
      </w:pPr>
    </w:p>
    <w:p>
      <w:pPr>
        <w:pStyle w:val="Heading1"/>
      </w:pPr>
      <w:r>
        <w:t>Sensitive item appears unexpectedly: general response</w:t>
      </w:r>
    </w:p>
    <w:p>
      <w:r>
        <w:t>1) Calmly pause: “Let’s stop here and keep this private.”  2) Ask the member, without touching the item, to return it to their bag/packaging and keep it secure.  3) Move the conversation away from the table—outside the group’s hearing if practicable.  4) State only the next process step: private pharmacist/prescriber discussion, authorised disposal support, or urgent services as appropriate. Do not declare what the item is, what it means legally, or what must happen from the table.</w:t>
      </w:r>
    </w:p>
    <w:p>
      <w:pPr>
        <w:pStyle w:val="Heading1"/>
      </w:pPr>
      <w:r>
        <w:t>Difficult case: deceased spouse’s fentanyl patches</w:t>
      </w:r>
    </w:p>
    <w:tbl>
      <w:tblPr>
        <w:tblW w:type="auto" w:w="0"/>
        <w:tblLook w:firstColumn="1" w:firstRow="1" w:lastColumn="0" w:lastRow="0" w:noHBand="0" w:noVBand="1" w:val="04A0"/>
      </w:tblPr>
      <w:tblGrid>
        <w:gridCol w:w="10858"/>
      </w:tblGrid>
      <w:tr>
        <w:tc>
          <w:tcPr>
            <w:tcW w:type="dxa" w:w="10858"/>
            <w:shd w:fill="FCEEEA"/>
            <w:tcBorders>
              <w:top w:val="single" w:sz="4" w:color="77AAA6"/>
              <w:left w:val="single" w:sz="4" w:color="77AAA6"/>
              <w:bottom w:val="single" w:sz="4" w:color="77AAA6"/>
              <w:right w:val="single" w:sz="4" w:color="77AAA6"/>
            </w:tcBorders>
            <w:tcMar>
              <w:top w:w="100" w:type="dxa"/>
              <w:start w:w="120" w:type="dxa"/>
              <w:bottom w:w="100" w:type="dxa"/>
              <w:end w:w="120" w:type="dxa"/>
            </w:tcMar>
          </w:tcPr>
          <w:p>
            <w:r>
              <w:rPr>
                <w:b/>
                <w:color w:val="00605C"/>
              </w:rPr>
              <w:t xml:space="preserve">SAY THIS.  </w:t>
            </w:r>
            <w:r>
              <w:t>“I’m sorry for your loss. Please don’t handle these here. Let’s pause the group activity around this table and move to a private space. Keep the patches secure with you; I cannot make a clinical or legal conclusion here. We will help you identify the appropriate pharmacist or authorised disposal support for a private next step.”</w:t>
            </w:r>
          </w:p>
        </w:tc>
      </w:tr>
    </w:tbl>
    <w:p>
      <w:r>
        <w:t>Do not count, inspect, touch, or publicly discuss the patches. Do not shame the member, debate ownership, promise a disposal method, or make legal pronouncements. Resume the group only after the item and conversation are away from the table; record only a minimal process incident if needed (see page 6).</w:t>
      </w:r>
    </w:p>
    <w:p>
      <w:r>
        <w:br w:type="page"/>
      </w:r>
    </w:p>
    <w:p>
      <w:pPr>
        <w:pStyle w:val="Title"/>
      </w:pPr>
      <w:r>
        <w:t>Set-Up, Materials, Staffing, and Budget</w:t>
      </w:r>
    </w:p>
    <w:p>
      <w:pPr>
        <w:pStyle w:val="Subtitle"/>
      </w:pPr>
      <w:r>
        <w:t>Design for one group of up to 20 — not 20 consultations</w:t>
      </w:r>
    </w:p>
    <w:p>
      <w:pPr>
        <w:pStyle w:val="Heading1"/>
      </w:pPr>
      <w:r>
        <w:t>Room and staffing assumptions</w:t>
      </w:r>
    </w:p>
    <w:p>
      <w:r>
        <w:t>One Gildenhall Practice frontline facilitator leads the room. A second staff member is desirable when available for sign-in, timekeeping, and directing a private path, but is not required to deliver the core session. Pharmacist support is needed for a requested private medicine question, item-specific uncertainty, sensitive-item follow-up, or review of recurring safety issues—not to stand at every table. Arrange five tables of four facing a wall display; leave a clear private exit/side area. Each member works only on paper at their own seat. No communal medicine table, collection box, or label camera.</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52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Essential — do not omit</w:t>
            </w:r>
          </w:p>
        </w:tc>
        <w:tc>
          <w:tcPr>
            <w:tcW w:type="dxa" w:w="511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Optional enhancements — remove first if unavailable</w:t>
            </w:r>
          </w:p>
        </w:tc>
      </w:tr>
      <w:tr>
        <w:tc>
          <w:tcPr>
            <w:tcW w:type="dxa" w:w="52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20 printed participant panels; 20 cabinet-plan sheets; pens; blank general-scenario cards; timer; visible privacy/safety boundary poster; sign-in count sheet; anonymous two-question feedback slips; a private conversation location.</w:t>
            </w:r>
          </w:p>
        </w:tc>
        <w:tc>
          <w:tcPr>
            <w:tcW w:type="dxa" w:w="511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Table tents; large-print duplicate panels; reusable folder/envelope for each member’s paper plan; display easel; refreshments.</w:t>
            </w:r>
          </w:p>
        </w:tc>
      </w:tr>
    </w:tbl>
    <w:p>
      <w:pPr>
        <w:spacing w:after="0"/>
      </w:pPr>
    </w:p>
    <w:p>
      <w:pPr>
        <w:pStyle w:val="Heading1"/>
      </w:pPr>
      <w:r>
        <w:t>Budget discipline: ceiling $1,200</w:t>
      </w:r>
    </w:p>
    <w:p>
      <w:r>
        <w:t>No prices, donated resources, disposal contractor, room charge, or staff cost has been supplied. Therefore do not assert unit prices or promise any resource. Before session 1, obtain quotes/approvals and record actual commitments in these capped envelopes; total approvals and actuals must never exceed $1,200.</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324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Approval envelope</w:t>
            </w:r>
          </w:p>
        </w:tc>
        <w:tc>
          <w:tcPr>
            <w:tcW w:type="dxa" w:w="1152"/>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Cap</w:t>
            </w:r>
          </w:p>
        </w:tc>
        <w:tc>
          <w:tcPr>
            <w:tcW w:type="dxa" w:w="597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Use / decision rule</w:t>
            </w:r>
          </w:p>
        </w:tc>
      </w:tr>
      <w:tr>
        <w:tc>
          <w:tcPr>
            <w:tcW w:type="dxa" w:w="324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Printing and accessible formats</w:t>
            </w:r>
          </w:p>
        </w:tc>
        <w:tc>
          <w:tcPr>
            <w:tcW w:type="dxa" w:w="115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$300</w:t>
            </w:r>
          </w:p>
        </w:tc>
        <w:tc>
          <w:tcPr>
            <w:tcW w:type="dxa" w:w="59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Print core panels and plans first; use the approved rate only.</w:t>
            </w:r>
          </w:p>
        </w:tc>
      </w:tr>
      <w:tr>
        <w:tc>
          <w:tcPr>
            <w:tcW w:type="dxa" w:w="324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Facilitation materials / reusable display</w:t>
            </w:r>
          </w:p>
        </w:tc>
        <w:tc>
          <w:tcPr>
            <w:tcW w:type="dxa" w:w="115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$250</w:t>
            </w:r>
          </w:p>
        </w:tc>
        <w:tc>
          <w:tcPr>
            <w:tcW w:type="dxa" w:w="59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Buy only safety-boundary display and paper activity aids after printing is secured.</w:t>
            </w:r>
          </w:p>
        </w:tc>
      </w:tr>
      <w:tr>
        <w:tc>
          <w:tcPr>
            <w:tcW w:type="dxa" w:w="324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Room/support contingency</w:t>
            </w:r>
          </w:p>
        </w:tc>
        <w:tc>
          <w:tcPr>
            <w:tcW w:type="dxa" w:w="115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$350</w:t>
            </w:r>
          </w:p>
        </w:tc>
        <w:tc>
          <w:tcPr>
            <w:tcW w:type="dxa" w:w="59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Use only if approved for the community-room delivery need; otherwise hold.</w:t>
            </w:r>
          </w:p>
        </w:tc>
      </w:tr>
      <w:tr>
        <w:tc>
          <w:tcPr>
            <w:tcW w:type="dxa" w:w="324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Accessibility / replacement contingency</w:t>
            </w:r>
          </w:p>
        </w:tc>
        <w:tc>
          <w:tcPr>
            <w:tcW w:type="dxa" w:w="115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$300</w:t>
            </w:r>
          </w:p>
        </w:tc>
        <w:tc>
          <w:tcPr>
            <w:tcW w:type="dxa" w:w="59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Use for approved access needs or replenishment across four sessions.</w:t>
            </w:r>
          </w:p>
        </w:tc>
      </w:tr>
      <w:tr>
        <w:tc>
          <w:tcPr>
            <w:tcW w:type="dxa" w:w="324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TOTAL MAXIMUM</w:t>
            </w:r>
          </w:p>
        </w:tc>
        <w:tc>
          <w:tcPr>
            <w:tcW w:type="dxa" w:w="1152"/>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$1,200</w:t>
            </w:r>
          </w:p>
        </w:tc>
        <w:tc>
          <w:tcPr>
            <w:tcW w:type="dxa" w:w="597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No purchase or commitment beyond this ceiling; unused amounts remain uncommitted.</w:t>
            </w:r>
          </w:p>
        </w:tc>
      </w:tr>
    </w:tbl>
    <w:p>
      <w:pPr>
        <w:spacing w:after="0"/>
      </w:pPr>
    </w:p>
    <w:p>
      <w:r>
        <w:t>If funds or materials are unavailable, simplify in this order: refreshments/table tents, folders/easel, reusable scenario cards (read scenarios aloud), then print one shared display plus plain paper plans. Never remove the privacy/safety boundary, paper plan, timer, or private-referral path.</w:t>
      </w:r>
    </w:p>
    <w:p>
      <w:pPr>
        <w:pStyle w:val="Heading1"/>
      </w:pPr>
      <w:r>
        <w:t>Preparation checklist — complete before each Saturday</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Room &amp; print</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People &amp; privacy</w:t>
            </w:r>
          </w:p>
        </w:tc>
        <w:tc>
          <w:tcPr>
            <w:tcW w:type="dxa" w:w="3456"/>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4"/>
              </w:rPr>
              <w:t>Escalation &amp; custody</w:t>
            </w:r>
          </w:p>
        </w:tc>
      </w:tr>
      <w:tr>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 Tables for five groups of four; side/private space ready. ☐ Participant panels, plans, boundary poster, timer, pens, feedback slips ready.</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 Facilitator has the scripts; optional support role confirmed. ☐ Sign-in is a headcount or voluntary first-name-only tally; no labels/photos.</w:t>
            </w:r>
          </w:p>
        </w:tc>
        <w:tc>
          <w:tcPr>
            <w:tcW w:type="dxa" w:w="3456"/>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4"/>
              </w:rPr>
              <w:t>☐ Know how to contact appropriate pharmacist, prescriber, emergency, poison-support, and authorised disposal services. ☐ Confirm no participant medicines will be collected or stored by the program without an authorised arrangement.</w:t>
            </w:r>
          </w:p>
        </w:tc>
      </w:tr>
    </w:tbl>
    <w:p>
      <w:pPr>
        <w:spacing w:after="0"/>
      </w:pPr>
    </w:p>
    <w:p>
      <w:r>
        <w:br w:type="page"/>
      </w:r>
    </w:p>
    <w:p>
      <w:pPr>
        <w:pStyle w:val="Title"/>
      </w:pPr>
      <w:r>
        <w:t>Repeat, Learn, and Close Safely</w:t>
      </w:r>
    </w:p>
    <w:p>
      <w:pPr>
        <w:pStyle w:val="Subtitle"/>
      </w:pPr>
      <w:r>
        <w:t>Same core guide four times this fall; improve process, not clinical decisions</w:t>
      </w:r>
    </w:p>
    <w:p>
      <w:pPr>
        <w:pStyle w:val="Heading1"/>
      </w:pPr>
      <w:r>
        <w:t>Four-session repeatability</w:t>
      </w:r>
    </w:p>
    <w:p>
      <w:r>
        <w:t>Use the same definition, agenda, scripts, participant panel, and stop condition for every session. Ordinary general questions fit the eight-minute question block; personal questions go to the private path. Between sessions, the facilitator and Hedda Stavropoulos (or the designated Gildenhall Practice pharmacist reviewer) review timing, attendance count, anonymous usefulness feedback, process/safety issues, recurring general questions, and materials used. Do not turn repeated questions into group clinical advice.</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1944"/>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Minimal record</w:t>
            </w:r>
          </w:p>
        </w:tc>
        <w:tc>
          <w:tcPr>
            <w:tcW w:type="dxa" w:w="432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What to record</w:t>
            </w:r>
          </w:p>
        </w:tc>
        <w:tc>
          <w:tcPr>
            <w:tcW w:type="dxa" w:w="4104"/>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What not to record</w:t>
            </w:r>
          </w:p>
        </w:tc>
      </w:tr>
      <w:tr>
        <w:tc>
          <w:tcPr>
            <w:tcW w:type="dxa" w:w="194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Participation</w:t>
            </w:r>
          </w:p>
        </w:tc>
        <w:tc>
          <w:tcPr>
            <w:tcW w:type="dxa" w:w="43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Session date; number attending; number of paper panels distributed.</w:t>
            </w:r>
          </w:p>
        </w:tc>
        <w:tc>
          <w:tcPr>
            <w:tcW w:type="dxa" w:w="410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Diagnoses, medicine names, labels, personal histories, photographs, or reasons for attendance.</w:t>
            </w:r>
          </w:p>
        </w:tc>
      </w:tr>
      <w:tr>
        <w:tc>
          <w:tcPr>
            <w:tcW w:type="dxa" w:w="194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Feedback — separate prompts</w:t>
            </w:r>
          </w:p>
        </w:tc>
        <w:tc>
          <w:tcPr>
            <w:tcW w:type="dxa" w:w="43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Usefulness: “Did the session help you plan a safer cabinet sort?” (yes / partly / no). Process: “Was the room private and clear? Any safety/process concern?”</w:t>
            </w:r>
          </w:p>
        </w:tc>
        <w:tc>
          <w:tcPr>
            <w:tcW w:type="dxa" w:w="410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Health information or a request to explain a personal medicine.</w:t>
            </w:r>
          </w:p>
        </w:tc>
      </w:tr>
      <w:tr>
        <w:tc>
          <w:tcPr>
            <w:tcW w:type="dxa" w:w="194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Incident / near miss</w:t>
            </w:r>
          </w:p>
        </w:tc>
        <w:tc>
          <w:tcPr>
            <w:tcW w:type="dxa" w:w="43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Date; general process category (e.g., item placed on table, privacy redirection); action taken; whether issue was referred; reviewer/owner.</w:t>
            </w:r>
          </w:p>
        </w:tc>
        <w:tc>
          <w:tcPr>
            <w:tcW w:type="dxa" w:w="4104"/>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Names, clinical details, item name, label, photo, bereavement details, or a clinical conclusion.</w:t>
            </w:r>
          </w:p>
        </w:tc>
      </w:tr>
    </w:tbl>
    <w:p>
      <w:pPr>
        <w:spacing w:after="0"/>
      </w:pPr>
    </w:p>
    <w:p>
      <w:r>
        <w:t>The frontline facilitator sends the minimal record to the Gildenhall Practice designated workshop lead for review with Hedda Stavropoulos as pharmacist reviewer when a safety issue requires it. Urgent events follow the immediate emergency/poison-support pathway rather than this record. For next year, carry forward the stable core and approved materials; revise wording, timing, room flow, and print quantities based on the four-session review. Retain no extra health information to make the program “more useful.”</w:t>
      </w:r>
    </w:p>
    <w:p>
      <w:pPr>
        <w:pStyle w:val="Heading1"/>
      </w:pPr>
      <w:r>
        <w:t>Facilitator quick responses</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448"/>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Need</w:t>
            </w:r>
          </w:p>
        </w:tc>
        <w:tc>
          <w:tcPr>
            <w:tcW w:type="dxa" w:w="7920"/>
            <w:shd w:fill="173F4F"/>
            <w:tcMar>
              <w:top w:w="70" w:type="dxa"/>
              <w:start w:w="90" w:type="dxa"/>
              <w:bottom w:w="70" w:type="dxa"/>
              <w:end w:w="90" w:type="dxa"/>
            </w:tcMar>
            <w:tcBorders>
              <w:top w:val="single" w:sz="4" w:color="173F4F"/>
              <w:left w:val="single" w:sz="4" w:color="173F4F"/>
              <w:bottom w:val="single" w:sz="4" w:color="173F4F"/>
              <w:right w:val="single" w:sz="4" w:color="173F4F"/>
            </w:tcBorders>
          </w:tcPr>
          <w:p>
            <w:r>
              <w:rPr>
                <w:b/>
                <w:color w:val="FFFFFF"/>
                <w:sz w:val="15"/>
              </w:rPr>
              <w:t>Use these words</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Routine process question</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“I can explain the workshop process. For a decision about your own medicine, let’s use the private path.”</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Private conversation requested</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“We can step aside after this segment. Please keep the item with you and do not show the label to the group.”</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Urgent safety concern</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shd w:fill="F1F6F5"/>
          </w:tcPr>
          <w:p>
            <w:pPr>
              <w:spacing w:after="20"/>
            </w:pPr>
            <w:r>
              <w:rPr>
                <w:sz w:val="15"/>
              </w:rPr>
              <w:t>“This needs urgent help, not a workshop answer. Please contact emergency or poison-support services as appropriate now.”</w:t>
            </w:r>
          </w:p>
        </w:tc>
      </w:tr>
      <w:tr>
        <w:tc>
          <w:tcPr>
            <w:tcW w:type="dxa" w:w="2448"/>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Disposal question</w:t>
            </w:r>
          </w:p>
        </w:tc>
        <w:tc>
          <w:tcPr>
            <w:tcW w:type="dxa" w:w="7920"/>
            <w:tcMar>
              <w:top w:w="70" w:type="dxa"/>
              <w:start w:w="90" w:type="dxa"/>
              <w:bottom w:w="70" w:type="dxa"/>
              <w:end w:w="90" w:type="dxa"/>
            </w:tcMar>
            <w:tcBorders>
              <w:top w:val="single" w:sz="4" w:color="C9D6D6"/>
              <w:left w:val="single" w:sz="4" w:color="C9D6D6"/>
              <w:bottom w:val="single" w:sz="4" w:color="C9D6D6"/>
              <w:right w:val="single" w:sz="4" w:color="C9D6D6"/>
            </w:tcBorders>
            <w:vAlign w:val="center"/>
          </w:tcPr>
          <w:p>
            <w:pPr>
              <w:spacing w:after="20"/>
            </w:pPr>
            <w:r>
              <w:rPr>
                <w:sz w:val="15"/>
              </w:rPr>
              <w:t>“Different items and places use different authorised disposal channels. This workshop is not the disposal authority; keep it secure and ask the appropriate channel.”</w:t>
            </w:r>
          </w:p>
        </w:tc>
      </w:tr>
    </w:tbl>
    <w:p>
      <w:pPr>
        <w:spacing w:after="0"/>
      </w:pPr>
    </w:p>
    <w:p>
      <w:pPr>
        <w:pStyle w:val="Heading1"/>
      </w:pPr>
      <w:r>
        <w:t>Final operating position</w:t>
      </w:r>
    </w:p>
    <w:tbl>
      <w:tblPr>
        <w:tblW w:type="auto" w:w="0"/>
        <w:tblLook w:firstColumn="1" w:firstRow="1" w:lastColumn="0" w:lastRow="0" w:noHBand="0" w:noVBand="1" w:val="04A0"/>
      </w:tblPr>
      <w:tblGrid>
        <w:gridCol w:w="10858"/>
      </w:tblGrid>
      <w:tr>
        <w:tc>
          <w:tcPr>
            <w:tcW w:type="dxa" w:w="10858"/>
            <w:shd w:fill="DDEFEA"/>
            <w:tcBorders>
              <w:top w:val="single" w:sz="4" w:color="77AAA6"/>
              <w:left w:val="single" w:sz="4" w:color="77AAA6"/>
              <w:bottom w:val="single" w:sz="4" w:color="77AAA6"/>
              <w:right w:val="single" w:sz="4" w:color="77AAA6"/>
            </w:tcBorders>
            <w:tcMar>
              <w:top w:w="100" w:type="dxa"/>
              <w:start w:w="120" w:type="dxa"/>
              <w:bottom w:w="100" w:type="dxa"/>
              <w:end w:w="120" w:type="dxa"/>
            </w:tcMar>
          </w:tcPr>
          <w:p>
            <w:r>
              <w:rPr>
                <w:b/>
                <w:color w:val="00605C"/>
              </w:rPr>
              <w:t xml:space="preserve">THE SESSION OPERATES AS EDUCATION, NOT AUTHORIZATION.  </w:t>
            </w:r>
            <w:r>
              <w:t>Gildenhall Practice will run this 45-minute Lanternwood Components workshop four times with paper-based organisation practice, firm privacy and no-custody rules, bounded general questions, and private referral for item-specific decisions. Members leave with a safer plan and a next step—not a group decision about a medicine.</w:t>
            </w:r>
          </w:p>
        </w:tc>
      </w:tr>
    </w:tbl>
    <w:p>
      <w:r>
        <w:t>Version 1.0 • Prepared for fall delivery and next-year reuse • Owner: Gildenhall Practice workshop lead • Clinical reviewer: Hedda Stavropoulos</w:t>
      </w:r>
    </w:p>
    <w:sectPr w:rsidR="00FC693F" w:rsidRPr="0006063C" w:rsidSect="00034616">
      <w:headerReference w:type="default" r:id="rId9"/>
      <w:footerReference w:type="default" r:id="rId10"/>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Gildenhall Practice • Medicine-cabinet clean-out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7C78"/>
      </w:rPr>
      <w:t>LANTERNWOOD COMPONENTS  |  COMMUNITY WELLBEING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ptos Display" w:hAnsi="Aptos Display"/>
      <w:b/>
      <w:bCs/>
      <w:color w:val="173F4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007C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173F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