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4E79"/>
          <w:sz w:val="32"/>
        </w:rPr>
        <w:t>WARDENBY UTILITIES</w:t>
      </w:r>
    </w:p>
    <w:p>
      <w:pPr>
        <w:spacing w:after="160"/>
        <w:jc w:val="center"/>
      </w:pPr>
      <w:r>
        <w:rPr>
          <w:rFonts w:ascii="Aptos" w:hAnsi="Aptos"/>
          <w:b/>
          <w:color w:val="1F2933"/>
          <w:sz w:val="21"/>
        </w:rPr>
        <w:t>Affiliate-Transaction Compliance Certification Exhibit</w:t>
      </w:r>
    </w:p>
    <w:p>
      <w:pPr>
        <w:spacing w:after="160"/>
        <w:jc w:val="center"/>
      </w:pPr>
      <w:r>
        <w:rPr>
          <w:rFonts w:ascii="Aptos" w:hAnsi="Aptos"/>
          <w:i/>
          <w:sz w:val="18"/>
        </w:rPr>
        <w:t>Year ended 31 December 2025 | Comparative year ended 31 December 2024</w:t>
      </w:r>
    </w:p>
    <w:p>
      <w:pPr>
        <w:spacing w:before="120" w:after="40"/>
      </w:pPr>
      <w:r>
        <w:rPr>
          <w:rFonts w:ascii="Aptos Display" w:hAnsi="Aptos Display"/>
          <w:b/>
          <w:color w:val="1F4E79"/>
          <w:sz w:val="18"/>
        </w:rPr>
        <w:t>EXECUTIVE CERTIFICATION BASIS</w:t>
      </w:r>
    </w:p>
    <w:p>
      <w:pPr>
        <w:spacing w:after="60" w:line="245" w:lineRule="auto"/>
      </w:pPr>
      <w:r>
        <w:rPr>
          <w:rFonts w:ascii="Aptos" w:hAnsi="Aptos"/>
          <w:color w:val="1F2933"/>
          <w:sz w:val="18"/>
        </w:rPr>
        <w:t>Recorded affiliate transactions increased $1.9 million (8.2%) to $25.0 million in 2025 from $23.1 million in 2024. This exhibit supports one bounded accounting-compliance determination on affiliate transactions and related allocation, reconciliation, review-evidence, and presentation matters; the volume increase is not itself a compliance conclusion.</w:t>
      </w:r>
    </w:p>
    <w:p>
      <w:pPr>
        <w:spacing w:after="60" w:line="245" w:lineRule="auto"/>
      </w:pPr>
      <w:r>
        <w:rPr>
          <w:rFonts w:ascii="Aptos" w:hAnsi="Aptos"/>
          <w:color w:val="1F2933"/>
          <w:sz w:val="18"/>
        </w:rPr>
        <w:t>Management is responsible for the underlying records, allocation practices, and representations. The basis comprises Wardenby’s cost-allocation manual, department records and logs, management representations, and prior-cycle audit findings. Accounting did not independently validate the Engineering allocation model’s design or operating inputs.</w:t>
      </w:r>
    </w:p>
    <w:p>
      <w:pPr>
        <w:spacing w:before="120" w:after="40"/>
      </w:pPr>
      <w:r>
        <w:rPr>
          <w:rFonts w:ascii="Aptos Display" w:hAnsi="Aptos Display"/>
          <w:b/>
          <w:color w:val="1F4E79"/>
          <w:sz w:val="18"/>
        </w:rPr>
        <w:t>RECORDED AFFILIATE TRANSACTIONS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rHeight w:val="340"/>
        </w:trPr>
        <w:tc>
          <w:tcPr>
            <w:tcW w:type="dxa" w:w="3816"/>
            <w:shd w:fill="1F4E79"/>
            <w:vAlign w:val="center"/>
          </w:tcPr>
          <w:p>
            <w:pPr>
              <w:spacing w:after="0"/>
              <w:jc w:val="left"/>
            </w:pPr>
            <w:r/>
            <w:r>
              <w:rPr>
                <w:rFonts w:ascii="Aptos" w:hAnsi="Aptos"/>
                <w:b/>
                <w:color w:val="FFFFFF"/>
                <w:sz w:val="16"/>
              </w:rPr>
              <w:t>Department</w:t>
            </w:r>
          </w:p>
        </w:tc>
        <w:tc>
          <w:tcPr>
            <w:tcW w:type="dxa" w:w="1512"/>
            <w:shd w:fill="1F4E79"/>
            <w:vAlign w:val="center"/>
          </w:tcPr>
          <w:p>
            <w:pPr>
              <w:spacing w:after="0"/>
              <w:jc w:val="center"/>
            </w:pPr>
            <w:r/>
            <w:r>
              <w:rPr>
                <w:rFonts w:ascii="Aptos" w:hAnsi="Aptos"/>
                <w:b/>
                <w:color w:val="FFFFFF"/>
                <w:sz w:val="16"/>
              </w:rPr>
              <w:t>2025</w:t>
              <w:br/>
              <w:t>$ millions</w:t>
            </w:r>
          </w:p>
        </w:tc>
        <w:tc>
          <w:tcPr>
            <w:tcW w:type="dxa" w:w="1512"/>
            <w:shd w:fill="1F4E79"/>
            <w:vAlign w:val="center"/>
          </w:tcPr>
          <w:p>
            <w:pPr>
              <w:spacing w:after="0"/>
              <w:jc w:val="center"/>
            </w:pPr>
            <w:r/>
            <w:r>
              <w:rPr>
                <w:rFonts w:ascii="Aptos" w:hAnsi="Aptos"/>
                <w:b/>
                <w:color w:val="FFFFFF"/>
                <w:sz w:val="16"/>
              </w:rPr>
              <w:t>2024</w:t>
              <w:br/>
              <w:t>$ millions</w:t>
            </w:r>
          </w:p>
        </w:tc>
        <w:tc>
          <w:tcPr>
            <w:tcW w:type="dxa" w:w="1512"/>
            <w:shd w:fill="1F4E79"/>
            <w:vAlign w:val="center"/>
          </w:tcPr>
          <w:p>
            <w:pPr>
              <w:spacing w:after="0"/>
              <w:jc w:val="center"/>
            </w:pPr>
            <w:r/>
            <w:r>
              <w:rPr>
                <w:rFonts w:ascii="Aptos" w:hAnsi="Aptos"/>
                <w:b/>
                <w:color w:val="FFFFFF"/>
                <w:sz w:val="16"/>
              </w:rPr>
              <w:t>Change</w:t>
              <w:br/>
              <w:t>$ millions</w:t>
            </w:r>
          </w:p>
        </w:tc>
      </w:tr>
      <w:tr>
        <w:trPr>
          <w:trHeight w:val="340"/>
        </w:trPr>
        <w:tc>
          <w:tcPr>
            <w:tcW w:type="dxa" w:w="3816"/>
            <w:vAlign w:val="center"/>
          </w:tcPr>
          <w:p>
            <w:pPr>
              <w:spacing w:after="0"/>
              <w:jc w:val="left"/>
            </w:pPr>
            <w:r/>
            <w:r>
              <w:rPr>
                <w:rFonts w:ascii="Aptos" w:hAnsi="Aptos"/>
                <w:b w:val="0"/>
                <w:color w:val="1F2933"/>
                <w:sz w:val="17"/>
              </w:rPr>
              <w:t>Customer Operations</w:t>
            </w:r>
          </w:p>
        </w:tc>
        <w:tc>
          <w:tcPr>
            <w:tcW w:type="dxa" w:w="1512"/>
            <w:vAlign w:val="center"/>
          </w:tcPr>
          <w:p>
            <w:pPr>
              <w:spacing w:after="0"/>
              <w:jc w:val="right"/>
            </w:pPr>
            <w:r/>
            <w:r>
              <w:rPr>
                <w:rFonts w:ascii="Aptos" w:hAnsi="Aptos"/>
                <w:b w:val="0"/>
                <w:color w:val="1F2933"/>
                <w:sz w:val="17"/>
              </w:rPr>
              <w:t>7.4</w:t>
            </w:r>
          </w:p>
        </w:tc>
        <w:tc>
          <w:tcPr>
            <w:tcW w:type="dxa" w:w="1512"/>
            <w:vAlign w:val="center"/>
          </w:tcPr>
          <w:p>
            <w:pPr>
              <w:spacing w:after="0"/>
              <w:jc w:val="right"/>
            </w:pPr>
            <w:r/>
            <w:r>
              <w:rPr>
                <w:rFonts w:ascii="Aptos" w:hAnsi="Aptos"/>
                <w:b w:val="0"/>
                <w:color w:val="1F2933"/>
                <w:sz w:val="17"/>
              </w:rPr>
              <w:t>7.0</w:t>
            </w:r>
          </w:p>
        </w:tc>
        <w:tc>
          <w:tcPr>
            <w:tcW w:type="dxa" w:w="1512"/>
            <w:vAlign w:val="center"/>
          </w:tcPr>
          <w:p>
            <w:pPr>
              <w:spacing w:after="0"/>
              <w:jc w:val="right"/>
            </w:pPr>
            <w:r/>
            <w:r>
              <w:rPr>
                <w:rFonts w:ascii="Aptos" w:hAnsi="Aptos"/>
                <w:b w:val="0"/>
                <w:color w:val="1F2933"/>
                <w:sz w:val="17"/>
              </w:rPr>
              <w:t>+0.4</w:t>
            </w:r>
          </w:p>
        </w:tc>
      </w:tr>
      <w:tr>
        <w:trPr>
          <w:trHeight w:val="340"/>
        </w:trPr>
        <w:tc>
          <w:tcPr>
            <w:tcW w:type="dxa" w:w="3816"/>
            <w:shd w:fill="F2F4F5"/>
            <w:vAlign w:val="center"/>
          </w:tcPr>
          <w:p>
            <w:pPr>
              <w:spacing w:after="0"/>
              <w:jc w:val="left"/>
            </w:pPr>
            <w:r/>
            <w:r>
              <w:rPr>
                <w:rFonts w:ascii="Aptos" w:hAnsi="Aptos"/>
                <w:b w:val="0"/>
                <w:color w:val="1F2933"/>
                <w:sz w:val="17"/>
              </w:rPr>
              <w:t>Shared IT</w:t>
            </w:r>
          </w:p>
        </w:tc>
        <w:tc>
          <w:tcPr>
            <w:tcW w:type="dxa" w:w="1512"/>
            <w:shd w:fill="F2F4F5"/>
            <w:vAlign w:val="center"/>
          </w:tcPr>
          <w:p>
            <w:pPr>
              <w:spacing w:after="0"/>
              <w:jc w:val="right"/>
            </w:pPr>
            <w:r/>
            <w:r>
              <w:rPr>
                <w:rFonts w:ascii="Aptos" w:hAnsi="Aptos"/>
                <w:b w:val="0"/>
                <w:color w:val="1F2933"/>
                <w:sz w:val="17"/>
              </w:rPr>
              <w:t>5.8</w:t>
            </w:r>
          </w:p>
        </w:tc>
        <w:tc>
          <w:tcPr>
            <w:tcW w:type="dxa" w:w="1512"/>
            <w:shd w:fill="F2F4F5"/>
            <w:vAlign w:val="center"/>
          </w:tcPr>
          <w:p>
            <w:pPr>
              <w:spacing w:after="0"/>
              <w:jc w:val="right"/>
            </w:pPr>
            <w:r/>
            <w:r>
              <w:rPr>
                <w:rFonts w:ascii="Aptos" w:hAnsi="Aptos"/>
                <w:b w:val="0"/>
                <w:color w:val="1F2933"/>
                <w:sz w:val="17"/>
              </w:rPr>
              <w:t>5.3</w:t>
            </w:r>
          </w:p>
        </w:tc>
        <w:tc>
          <w:tcPr>
            <w:tcW w:type="dxa" w:w="1512"/>
            <w:shd w:fill="F2F4F5"/>
            <w:vAlign w:val="center"/>
          </w:tcPr>
          <w:p>
            <w:pPr>
              <w:spacing w:after="0"/>
              <w:jc w:val="right"/>
            </w:pPr>
            <w:r/>
            <w:r>
              <w:rPr>
                <w:rFonts w:ascii="Aptos" w:hAnsi="Aptos"/>
                <w:b w:val="0"/>
                <w:color w:val="1F2933"/>
                <w:sz w:val="17"/>
              </w:rPr>
              <w:t>+0.5</w:t>
            </w:r>
          </w:p>
        </w:tc>
      </w:tr>
      <w:tr>
        <w:trPr>
          <w:trHeight w:val="340"/>
        </w:trPr>
        <w:tc>
          <w:tcPr>
            <w:tcW w:type="dxa" w:w="3816"/>
            <w:vAlign w:val="center"/>
          </w:tcPr>
          <w:p>
            <w:pPr>
              <w:spacing w:after="0"/>
              <w:jc w:val="left"/>
            </w:pPr>
            <w:r/>
            <w:r>
              <w:rPr>
                <w:rFonts w:ascii="Aptos" w:hAnsi="Aptos"/>
                <w:b w:val="0"/>
                <w:color w:val="1F2933"/>
                <w:sz w:val="17"/>
              </w:rPr>
              <w:t>Fleet</w:t>
            </w:r>
          </w:p>
        </w:tc>
        <w:tc>
          <w:tcPr>
            <w:tcW w:type="dxa" w:w="1512"/>
            <w:vAlign w:val="center"/>
          </w:tcPr>
          <w:p>
            <w:pPr>
              <w:spacing w:after="0"/>
              <w:jc w:val="right"/>
            </w:pPr>
            <w:r/>
            <w:r>
              <w:rPr>
                <w:rFonts w:ascii="Aptos" w:hAnsi="Aptos"/>
                <w:b w:val="0"/>
                <w:color w:val="1F2933"/>
                <w:sz w:val="17"/>
              </w:rPr>
              <w:t>4.2</w:t>
            </w:r>
          </w:p>
        </w:tc>
        <w:tc>
          <w:tcPr>
            <w:tcW w:type="dxa" w:w="1512"/>
            <w:vAlign w:val="center"/>
          </w:tcPr>
          <w:p>
            <w:pPr>
              <w:spacing w:after="0"/>
              <w:jc w:val="right"/>
            </w:pPr>
            <w:r/>
            <w:r>
              <w:rPr>
                <w:rFonts w:ascii="Aptos" w:hAnsi="Aptos"/>
                <w:b w:val="0"/>
                <w:color w:val="1F2933"/>
                <w:sz w:val="17"/>
              </w:rPr>
              <w:t>4.1</w:t>
            </w:r>
          </w:p>
        </w:tc>
        <w:tc>
          <w:tcPr>
            <w:tcW w:type="dxa" w:w="1512"/>
            <w:vAlign w:val="center"/>
          </w:tcPr>
          <w:p>
            <w:pPr>
              <w:spacing w:after="0"/>
              <w:jc w:val="right"/>
            </w:pPr>
            <w:r/>
            <w:r>
              <w:rPr>
                <w:rFonts w:ascii="Aptos" w:hAnsi="Aptos"/>
                <w:b w:val="0"/>
                <w:color w:val="1F2933"/>
                <w:sz w:val="17"/>
              </w:rPr>
              <w:t>+0.1</w:t>
            </w:r>
          </w:p>
        </w:tc>
      </w:tr>
      <w:tr>
        <w:trPr>
          <w:trHeight w:val="340"/>
        </w:trPr>
        <w:tc>
          <w:tcPr>
            <w:tcW w:type="dxa" w:w="3816"/>
            <w:shd w:fill="F2F4F5"/>
            <w:vAlign w:val="center"/>
          </w:tcPr>
          <w:p>
            <w:pPr>
              <w:spacing w:after="0"/>
              <w:jc w:val="left"/>
            </w:pPr>
            <w:r/>
            <w:r>
              <w:rPr>
                <w:rFonts w:ascii="Aptos" w:hAnsi="Aptos"/>
                <w:b w:val="0"/>
                <w:color w:val="1F2933"/>
                <w:sz w:val="17"/>
              </w:rPr>
              <w:t>Engineering</w:t>
            </w:r>
          </w:p>
        </w:tc>
        <w:tc>
          <w:tcPr>
            <w:tcW w:type="dxa" w:w="1512"/>
            <w:shd w:fill="F2F4F5"/>
            <w:vAlign w:val="center"/>
          </w:tcPr>
          <w:p>
            <w:pPr>
              <w:spacing w:after="0"/>
              <w:jc w:val="right"/>
            </w:pPr>
            <w:r/>
            <w:r>
              <w:rPr>
                <w:rFonts w:ascii="Aptos" w:hAnsi="Aptos"/>
                <w:b w:val="0"/>
                <w:color w:val="1F2933"/>
                <w:sz w:val="17"/>
              </w:rPr>
              <w:t>7.6</w:t>
            </w:r>
          </w:p>
        </w:tc>
        <w:tc>
          <w:tcPr>
            <w:tcW w:type="dxa" w:w="1512"/>
            <w:shd w:fill="F2F4F5"/>
            <w:vAlign w:val="center"/>
          </w:tcPr>
          <w:p>
            <w:pPr>
              <w:spacing w:after="0"/>
              <w:jc w:val="right"/>
            </w:pPr>
            <w:r/>
            <w:r>
              <w:rPr>
                <w:rFonts w:ascii="Aptos" w:hAnsi="Aptos"/>
                <w:b w:val="0"/>
                <w:color w:val="1F2933"/>
                <w:sz w:val="17"/>
              </w:rPr>
              <w:t>6.7</w:t>
            </w:r>
          </w:p>
        </w:tc>
        <w:tc>
          <w:tcPr>
            <w:tcW w:type="dxa" w:w="1512"/>
            <w:shd w:fill="F2F4F5"/>
            <w:vAlign w:val="center"/>
          </w:tcPr>
          <w:p>
            <w:pPr>
              <w:spacing w:after="0"/>
              <w:jc w:val="right"/>
            </w:pPr>
            <w:r/>
            <w:r>
              <w:rPr>
                <w:rFonts w:ascii="Aptos" w:hAnsi="Aptos"/>
                <w:b w:val="0"/>
                <w:color w:val="1F2933"/>
                <w:sz w:val="17"/>
              </w:rPr>
              <w:t>+0.9</w:t>
            </w:r>
          </w:p>
        </w:tc>
      </w:tr>
      <w:tr>
        <w:trPr>
          <w:trHeight w:val="340"/>
        </w:trPr>
        <w:tc>
          <w:tcPr>
            <w:tcW w:type="dxa" w:w="3816"/>
            <w:shd w:fill="D9EAF7"/>
            <w:vAlign w:val="center"/>
            <w:tcBorders>
              <w:bottom w:val="single" w:sz="6" w:color="1F4E79"/>
            </w:tcBorders>
          </w:tcPr>
          <w:p>
            <w:pPr>
              <w:spacing w:after="0"/>
              <w:jc w:val="left"/>
            </w:pPr>
            <w:r/>
            <w:r>
              <w:rPr>
                <w:rFonts w:ascii="Aptos" w:hAnsi="Aptos"/>
                <w:b/>
                <w:color w:val="1F2933"/>
                <w:sz w:val="17"/>
              </w:rPr>
              <w:t>Total recorded affiliate transactions</w:t>
            </w:r>
          </w:p>
        </w:tc>
        <w:tc>
          <w:tcPr>
            <w:tcW w:type="dxa" w:w="1512"/>
            <w:shd w:fill="D9EAF7"/>
            <w:vAlign w:val="center"/>
            <w:tcBorders>
              <w:bottom w:val="single" w:sz="6" w:color="1F4E79"/>
            </w:tcBorders>
          </w:tcPr>
          <w:p>
            <w:pPr>
              <w:spacing w:after="0"/>
              <w:jc w:val="right"/>
            </w:pPr>
            <w:r/>
            <w:r>
              <w:rPr>
                <w:rFonts w:ascii="Aptos" w:hAnsi="Aptos"/>
                <w:b/>
                <w:color w:val="1F2933"/>
                <w:sz w:val="17"/>
              </w:rPr>
              <w:t>25.0</w:t>
            </w:r>
          </w:p>
        </w:tc>
        <w:tc>
          <w:tcPr>
            <w:tcW w:type="dxa" w:w="1512"/>
            <w:shd w:fill="D9EAF7"/>
            <w:vAlign w:val="center"/>
            <w:tcBorders>
              <w:bottom w:val="single" w:sz="6" w:color="1F4E79"/>
            </w:tcBorders>
          </w:tcPr>
          <w:p>
            <w:pPr>
              <w:spacing w:after="0"/>
              <w:jc w:val="right"/>
            </w:pPr>
            <w:r/>
            <w:r>
              <w:rPr>
                <w:rFonts w:ascii="Aptos" w:hAnsi="Aptos"/>
                <w:b/>
                <w:color w:val="1F2933"/>
                <w:sz w:val="17"/>
              </w:rPr>
              <w:t>23.1</w:t>
            </w:r>
          </w:p>
        </w:tc>
        <w:tc>
          <w:tcPr>
            <w:tcW w:type="dxa" w:w="1512"/>
            <w:shd w:fill="D9EAF7"/>
            <w:vAlign w:val="center"/>
            <w:tcBorders>
              <w:bottom w:val="single" w:sz="6" w:color="1F4E79"/>
            </w:tcBorders>
          </w:tcPr>
          <w:p>
            <w:pPr>
              <w:spacing w:after="0"/>
              <w:jc w:val="right"/>
            </w:pPr>
            <w:r/>
            <w:r>
              <w:rPr>
                <w:rFonts w:ascii="Aptos" w:hAnsi="Aptos"/>
                <w:b/>
                <w:color w:val="1F2933"/>
                <w:sz w:val="17"/>
              </w:rPr>
              <w:t>+1.9</w:t>
            </w:r>
          </w:p>
        </w:tc>
      </w:tr>
    </w:tbl>
    <w:p>
      <w:pPr>
        <w:spacing w:after="60" w:line="245" w:lineRule="auto"/>
      </w:pPr>
      <w:r>
        <w:rPr>
          <w:rFonts w:ascii="Aptos" w:hAnsi="Aptos"/>
          <w:color w:val="1F2933"/>
          <w:sz w:val="18"/>
        </w:rPr>
        <w:t>Engineering is the largest contributor to the increase ($0.9 million; 47.4% of the total increase), followed by Shared IT ($0.5 million). Engineering’s increase reflects its peak-demand allocation model. The model owner represented that the model was applied consistently; that representation is not an accounting validation of the model’s design or operating inputs. Because those elements were not validated, accounting cannot conclude on that allocation basis. This limitation is consequential given Engineering’s $7.6 million of 2025 affiliate activity.</w:t>
      </w:r>
    </w:p>
    <w:p>
      <w:pPr>
        <w:spacing w:before="120" w:after="40"/>
      </w:pPr>
      <w:r>
        <w:rPr>
          <w:rFonts w:ascii="Aptos Display" w:hAnsi="Aptos Display"/>
          <w:b/>
          <w:color w:val="1F4E79"/>
          <w:sz w:val="18"/>
        </w:rPr>
        <w:t>STALE AFFILIATE BALANCES AND PRESENTATION</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rHeight w:val="340"/>
        </w:trPr>
        <w:tc>
          <w:tcPr>
            <w:tcW w:type="dxa" w:w="3816"/>
            <w:shd w:fill="1F4E79"/>
            <w:vAlign w:val="center"/>
          </w:tcPr>
          <w:p>
            <w:pPr>
              <w:spacing w:after="0"/>
              <w:jc w:val="left"/>
            </w:pPr>
            <w:r/>
            <w:r>
              <w:rPr>
                <w:rFonts w:ascii="Aptos" w:hAnsi="Aptos"/>
                <w:b/>
                <w:color w:val="FFFFFF"/>
                <w:sz w:val="16"/>
              </w:rPr>
              <w:t>Stale balances in logs</w:t>
            </w:r>
          </w:p>
        </w:tc>
        <w:tc>
          <w:tcPr>
            <w:tcW w:type="dxa" w:w="1512"/>
            <w:shd w:fill="1F4E79"/>
            <w:vAlign w:val="center"/>
          </w:tcPr>
          <w:p>
            <w:pPr>
              <w:spacing w:after="0"/>
              <w:jc w:val="center"/>
            </w:pPr>
            <w:r/>
            <w:r>
              <w:rPr>
                <w:rFonts w:ascii="Aptos" w:hAnsi="Aptos"/>
                <w:b/>
                <w:color w:val="FFFFFF"/>
                <w:sz w:val="16"/>
              </w:rPr>
              <w:t>2025</w:t>
              <w:br/>
              <w:t>$ millions</w:t>
            </w:r>
          </w:p>
        </w:tc>
        <w:tc>
          <w:tcPr>
            <w:tcW w:type="dxa" w:w="1512"/>
            <w:shd w:fill="1F4E79"/>
            <w:vAlign w:val="center"/>
          </w:tcPr>
          <w:p>
            <w:pPr>
              <w:spacing w:after="0"/>
              <w:jc w:val="center"/>
            </w:pPr>
            <w:r/>
            <w:r>
              <w:rPr>
                <w:rFonts w:ascii="Aptos" w:hAnsi="Aptos"/>
                <w:b/>
                <w:color w:val="FFFFFF"/>
                <w:sz w:val="16"/>
              </w:rPr>
              <w:t>2024</w:t>
              <w:br/>
              <w:t>$ millions</w:t>
            </w:r>
          </w:p>
        </w:tc>
        <w:tc>
          <w:tcPr>
            <w:tcW w:type="dxa" w:w="1512"/>
            <w:shd w:fill="1F4E79"/>
            <w:vAlign w:val="center"/>
          </w:tcPr>
          <w:p>
            <w:pPr>
              <w:spacing w:after="0"/>
              <w:jc w:val="center"/>
            </w:pPr>
            <w:r/>
            <w:r>
              <w:rPr>
                <w:rFonts w:ascii="Aptos" w:hAnsi="Aptos"/>
                <w:b/>
                <w:color w:val="FFFFFF"/>
                <w:sz w:val="16"/>
              </w:rPr>
              <w:t>Change</w:t>
              <w:br/>
              <w:t>$ millions</w:t>
            </w:r>
          </w:p>
        </w:tc>
      </w:tr>
      <w:tr>
        <w:trPr>
          <w:trHeight w:val="340"/>
        </w:trPr>
        <w:tc>
          <w:tcPr>
            <w:tcW w:type="dxa" w:w="3816"/>
            <w:vAlign w:val="center"/>
          </w:tcPr>
          <w:p>
            <w:pPr>
              <w:spacing w:after="0"/>
              <w:jc w:val="left"/>
            </w:pPr>
            <w:r/>
            <w:r>
              <w:rPr>
                <w:rFonts w:ascii="Aptos" w:hAnsi="Aptos"/>
                <w:b w:val="0"/>
                <w:color w:val="1F2933"/>
                <w:sz w:val="17"/>
              </w:rPr>
              <w:t>Gross receivable</w:t>
            </w:r>
          </w:p>
        </w:tc>
        <w:tc>
          <w:tcPr>
            <w:tcW w:type="dxa" w:w="1512"/>
            <w:vAlign w:val="center"/>
          </w:tcPr>
          <w:p>
            <w:pPr>
              <w:spacing w:after="0"/>
              <w:jc w:val="right"/>
            </w:pPr>
            <w:r/>
            <w:r>
              <w:rPr>
                <w:rFonts w:ascii="Aptos" w:hAnsi="Aptos"/>
                <w:b w:val="0"/>
                <w:color w:val="1F2933"/>
                <w:sz w:val="17"/>
              </w:rPr>
              <w:t>0.780</w:t>
            </w:r>
          </w:p>
        </w:tc>
        <w:tc>
          <w:tcPr>
            <w:tcW w:type="dxa" w:w="1512"/>
            <w:vAlign w:val="center"/>
          </w:tcPr>
          <w:p>
            <w:pPr>
              <w:spacing w:after="0"/>
              <w:jc w:val="right"/>
            </w:pPr>
            <w:r/>
            <w:r>
              <w:rPr>
                <w:rFonts w:ascii="Aptos" w:hAnsi="Aptos"/>
                <w:b w:val="0"/>
                <w:color w:val="1F2933"/>
                <w:sz w:val="17"/>
              </w:rPr>
              <w:t>0.180</w:t>
            </w:r>
          </w:p>
        </w:tc>
        <w:tc>
          <w:tcPr>
            <w:tcW w:type="dxa" w:w="1512"/>
            <w:vAlign w:val="center"/>
          </w:tcPr>
          <w:p>
            <w:pPr>
              <w:spacing w:after="0"/>
              <w:jc w:val="right"/>
            </w:pPr>
            <w:r/>
            <w:r>
              <w:rPr>
                <w:rFonts w:ascii="Aptos" w:hAnsi="Aptos"/>
                <w:b w:val="0"/>
                <w:color w:val="1F2933"/>
                <w:sz w:val="17"/>
              </w:rPr>
              <w:t>+0.600</w:t>
            </w:r>
          </w:p>
        </w:tc>
      </w:tr>
      <w:tr>
        <w:trPr>
          <w:trHeight w:val="340"/>
        </w:trPr>
        <w:tc>
          <w:tcPr>
            <w:tcW w:type="dxa" w:w="3816"/>
            <w:shd w:fill="F2F4F5"/>
            <w:vAlign w:val="center"/>
          </w:tcPr>
          <w:p>
            <w:pPr>
              <w:spacing w:after="0"/>
              <w:jc w:val="left"/>
            </w:pPr>
            <w:r/>
            <w:r>
              <w:rPr>
                <w:rFonts w:ascii="Aptos" w:hAnsi="Aptos"/>
                <w:b w:val="0"/>
                <w:color w:val="1F2933"/>
                <w:sz w:val="17"/>
              </w:rPr>
              <w:t>Gross payable</w:t>
            </w:r>
          </w:p>
        </w:tc>
        <w:tc>
          <w:tcPr>
            <w:tcW w:type="dxa" w:w="1512"/>
            <w:shd w:fill="F2F4F5"/>
            <w:vAlign w:val="center"/>
          </w:tcPr>
          <w:p>
            <w:pPr>
              <w:spacing w:after="0"/>
              <w:jc w:val="right"/>
            </w:pPr>
            <w:r/>
            <w:r>
              <w:rPr>
                <w:rFonts w:ascii="Aptos" w:hAnsi="Aptos"/>
                <w:b w:val="0"/>
                <w:color w:val="1F2933"/>
                <w:sz w:val="17"/>
              </w:rPr>
              <w:t>0.470</w:t>
            </w:r>
          </w:p>
        </w:tc>
        <w:tc>
          <w:tcPr>
            <w:tcW w:type="dxa" w:w="1512"/>
            <w:shd w:fill="F2F4F5"/>
            <w:vAlign w:val="center"/>
          </w:tcPr>
          <w:p>
            <w:pPr>
              <w:spacing w:after="0"/>
              <w:jc w:val="right"/>
            </w:pPr>
            <w:r/>
            <w:r>
              <w:rPr>
                <w:rFonts w:ascii="Aptos" w:hAnsi="Aptos"/>
                <w:b w:val="0"/>
                <w:color w:val="1F2933"/>
                <w:sz w:val="17"/>
              </w:rPr>
              <w:t>0.085</w:t>
            </w:r>
          </w:p>
        </w:tc>
        <w:tc>
          <w:tcPr>
            <w:tcW w:type="dxa" w:w="1512"/>
            <w:shd w:fill="F2F4F5"/>
            <w:vAlign w:val="center"/>
          </w:tcPr>
          <w:p>
            <w:pPr>
              <w:spacing w:after="0"/>
              <w:jc w:val="right"/>
            </w:pPr>
            <w:r/>
            <w:r>
              <w:rPr>
                <w:rFonts w:ascii="Aptos" w:hAnsi="Aptos"/>
                <w:b w:val="0"/>
                <w:color w:val="1F2933"/>
                <w:sz w:val="17"/>
              </w:rPr>
              <w:t>+0.385</w:t>
            </w:r>
          </w:p>
        </w:tc>
      </w:tr>
      <w:tr>
        <w:trPr>
          <w:trHeight w:val="340"/>
        </w:trPr>
        <w:tc>
          <w:tcPr>
            <w:tcW w:type="dxa" w:w="3816"/>
            <w:vAlign w:val="center"/>
          </w:tcPr>
          <w:p>
            <w:pPr>
              <w:spacing w:after="0"/>
              <w:jc w:val="left"/>
            </w:pPr>
            <w:r/>
            <w:r>
              <w:rPr>
                <w:rFonts w:ascii="Aptos" w:hAnsi="Aptos"/>
                <w:b w:val="0"/>
                <w:color w:val="1F2933"/>
                <w:sz w:val="17"/>
              </w:rPr>
              <w:t>Gross stale balances</w:t>
            </w:r>
          </w:p>
        </w:tc>
        <w:tc>
          <w:tcPr>
            <w:tcW w:type="dxa" w:w="1512"/>
            <w:vAlign w:val="center"/>
          </w:tcPr>
          <w:p>
            <w:pPr>
              <w:spacing w:after="0"/>
              <w:jc w:val="right"/>
            </w:pPr>
            <w:r/>
            <w:r>
              <w:rPr>
                <w:rFonts w:ascii="Aptos" w:hAnsi="Aptos"/>
                <w:b w:val="0"/>
                <w:color w:val="1F2933"/>
                <w:sz w:val="17"/>
              </w:rPr>
              <w:t>1.250</w:t>
            </w:r>
          </w:p>
        </w:tc>
        <w:tc>
          <w:tcPr>
            <w:tcW w:type="dxa" w:w="1512"/>
            <w:vAlign w:val="center"/>
          </w:tcPr>
          <w:p>
            <w:pPr>
              <w:spacing w:after="0"/>
              <w:jc w:val="right"/>
            </w:pPr>
            <w:r/>
            <w:r>
              <w:rPr>
                <w:rFonts w:ascii="Aptos" w:hAnsi="Aptos"/>
                <w:b w:val="0"/>
                <w:color w:val="1F2933"/>
                <w:sz w:val="17"/>
              </w:rPr>
              <w:t>0.265</w:t>
            </w:r>
          </w:p>
        </w:tc>
        <w:tc>
          <w:tcPr>
            <w:tcW w:type="dxa" w:w="1512"/>
            <w:vAlign w:val="center"/>
          </w:tcPr>
          <w:p>
            <w:pPr>
              <w:spacing w:after="0"/>
              <w:jc w:val="right"/>
            </w:pPr>
            <w:r/>
            <w:r>
              <w:rPr>
                <w:rFonts w:ascii="Aptos" w:hAnsi="Aptos"/>
                <w:b w:val="0"/>
                <w:color w:val="1F2933"/>
                <w:sz w:val="17"/>
              </w:rPr>
              <w:t>+0.985</w:t>
            </w:r>
          </w:p>
        </w:tc>
      </w:tr>
      <w:tr>
        <w:trPr>
          <w:trHeight w:val="340"/>
        </w:trPr>
        <w:tc>
          <w:tcPr>
            <w:tcW w:type="dxa" w:w="3816"/>
            <w:shd w:fill="F2F4F5"/>
            <w:vAlign w:val="center"/>
          </w:tcPr>
          <w:p>
            <w:pPr>
              <w:spacing w:after="0"/>
              <w:jc w:val="left"/>
            </w:pPr>
            <w:r/>
            <w:r>
              <w:rPr>
                <w:rFonts w:ascii="Aptos" w:hAnsi="Aptos"/>
                <w:b w:val="0"/>
                <w:color w:val="1F2933"/>
                <w:sz w:val="17"/>
              </w:rPr>
              <w:t>Net receivable shown in logs</w:t>
            </w:r>
          </w:p>
        </w:tc>
        <w:tc>
          <w:tcPr>
            <w:tcW w:type="dxa" w:w="1512"/>
            <w:shd w:fill="F2F4F5"/>
            <w:vAlign w:val="center"/>
          </w:tcPr>
          <w:p>
            <w:pPr>
              <w:spacing w:after="0"/>
              <w:jc w:val="right"/>
            </w:pPr>
            <w:r/>
            <w:r>
              <w:rPr>
                <w:rFonts w:ascii="Aptos" w:hAnsi="Aptos"/>
                <w:b w:val="0"/>
                <w:color w:val="1F2933"/>
                <w:sz w:val="17"/>
              </w:rPr>
              <w:t>0.310</w:t>
            </w:r>
          </w:p>
        </w:tc>
        <w:tc>
          <w:tcPr>
            <w:tcW w:type="dxa" w:w="1512"/>
            <w:shd w:fill="F2F4F5"/>
            <w:vAlign w:val="center"/>
          </w:tcPr>
          <w:p>
            <w:pPr>
              <w:spacing w:after="0"/>
              <w:jc w:val="right"/>
            </w:pPr>
            <w:r/>
            <w:r>
              <w:rPr>
                <w:rFonts w:ascii="Aptos" w:hAnsi="Aptos"/>
                <w:b w:val="0"/>
                <w:color w:val="1F2933"/>
                <w:sz w:val="17"/>
              </w:rPr>
              <w:t>0.095</w:t>
            </w:r>
          </w:p>
        </w:tc>
        <w:tc>
          <w:tcPr>
            <w:tcW w:type="dxa" w:w="1512"/>
            <w:shd w:fill="F2F4F5"/>
            <w:vAlign w:val="center"/>
          </w:tcPr>
          <w:p>
            <w:pPr>
              <w:spacing w:after="0"/>
              <w:jc w:val="right"/>
            </w:pPr>
            <w:r/>
            <w:r>
              <w:rPr>
                <w:rFonts w:ascii="Aptos" w:hAnsi="Aptos"/>
                <w:b w:val="0"/>
                <w:color w:val="1F2933"/>
                <w:sz w:val="17"/>
              </w:rPr>
              <w:t>+0.215</w:t>
            </w:r>
          </w:p>
        </w:tc>
      </w:tr>
    </w:tbl>
    <w:p>
      <w:pPr>
        <w:spacing w:after="60" w:line="245" w:lineRule="auto"/>
      </w:pPr>
      <w:r>
        <w:rPr>
          <w:rFonts w:ascii="Aptos" w:hAnsi="Aptos"/>
          <w:color w:val="1F2933"/>
          <w:sz w:val="18"/>
        </w:rPr>
        <w:t>The logs offset the stale receivable against the stale payable and therefore show the net receivable. Wardenby’s cost-allocation manual prohibits offsetting; the presentation is inconsistent with that internal requirement. Stale status concerns unresolved balances, whereas offsetting concerns their presentation. The substantially larger 2025 gross stale balances make the current-year netting matter more significant than in 2024; arithmetic netting does not settle, extinguish, or validate either gross balance.</w:t>
      </w:r>
    </w:p>
    <w:p>
      <w:pPr>
        <w:spacing w:before="120" w:after="40"/>
      </w:pPr>
      <w:r>
        <w:rPr>
          <w:rFonts w:ascii="Aptos Display" w:hAnsi="Aptos Display"/>
          <w:b/>
          <w:color w:val="1F4E79"/>
          <w:sz w:val="18"/>
        </w:rPr>
        <w:t>RECONCILIATION AND REVIEW-EVIDENCE CONTEXT</w:t>
      </w:r>
    </w:p>
    <w:p>
      <w:pPr>
        <w:spacing w:after="60" w:line="245" w:lineRule="auto"/>
      </w:pPr>
      <w:r>
        <w:rPr>
          <w:rFonts w:ascii="Aptos" w:hAnsi="Aptos"/>
          <w:color w:val="1F2933"/>
          <w:sz w:val="18"/>
        </w:rPr>
        <w:t>The prior-cycle audit found late quarterly reconciliations and missing review evidence. In 2025, quarterly reconciliations were completed on time, an improvement relative to the prior late-reconciliation finding. The Fleet second-quarter review is undated; this is a remaining, narrower exception in evidence of review timing and does not establish that the review was not performed.</w:t>
      </w:r>
    </w:p>
    <w:p>
      <w:pPr>
        <w:spacing w:before="120" w:after="40"/>
      </w:pPr>
      <w:r>
        <w:rPr>
          <w:rFonts w:ascii="Aptos Display" w:hAnsi="Aptos Display"/>
          <w:b/>
          <w:color w:val="1F4E79"/>
          <w:sz w:val="18"/>
        </w:rPr>
        <w:t>CERTIFICATION DECISION</w:t>
      </w:r>
    </w:p>
    <w:p>
      <w:pPr>
        <w:spacing w:after="100" w:line="245" w:lineRule="auto"/>
      </w:pPr>
      <w:r>
        <w:rPr>
          <w:rFonts w:ascii="Aptos" w:hAnsi="Aptos"/>
          <w:b/>
          <w:color w:val="1F4E79"/>
          <w:sz w:val="20"/>
        </w:rPr>
        <w:t xml:space="preserve">QUALIFIED CERTIFICATION. </w:t>
      </w:r>
      <w:r>
        <w:rPr>
          <w:rFonts w:ascii="Aptos" w:hAnsi="Aptos"/>
          <w:sz w:val="18"/>
        </w:rPr>
        <w:t>For the year ended 31 December 2025, the affiliate-transaction compliance certification is qualified for the prohibited netting of stale affiliate balances and the unvalidated Engineering peak-demand allocation-model design and operating inputs, with the undated Fleet second-quarter review noted as an isolated evidence-of-timing gap. The qualification does not negate the recorded transaction totals or the timely 2025 quarterly reconciliations.</w:t>
      </w:r>
    </w:p>
    <w:tbl>
      <w:tblPr>
        <w:tblW w:type="auto" w:w="0"/>
        <w:jc w:val="left"/>
        <w:tblLayout w:type="fixed"/>
        <w:tblLook w:firstColumn="1" w:firstRow="1" w:lastColumn="0" w:lastRow="0" w:noHBand="0" w:noVBand="1" w:val="04A0"/>
      </w:tblPr>
      <w:tblGrid>
        <w:gridCol w:w="4608"/>
        <w:gridCol w:w="3600"/>
      </w:tblGrid>
      <w:tr>
        <w:tc>
          <w:tcPr>
            <w:tcW w:type="dxa" w:w="5256"/>
            <w:vAlign w:val="center"/>
            <w:tcBorders>
              <w:bottom w:val="single" w:sz="6" w:color="FFFFFF"/>
            </w:tcBorders>
          </w:tcPr>
          <w:p>
            <w:pPr>
              <w:spacing w:after="0"/>
              <w:jc w:val="left"/>
            </w:pPr>
            <w:r/>
            <w:r>
              <w:rPr>
                <w:rFonts w:ascii="Aptos" w:hAnsi="Aptos"/>
                <w:b w:val="0"/>
                <w:color w:val="1F2933"/>
                <w:sz w:val="18"/>
              </w:rPr>
              <w:t>Signature: __________________________________</w:t>
            </w:r>
          </w:p>
        </w:tc>
        <w:tc>
          <w:tcPr>
            <w:tcW w:type="dxa" w:w="5256"/>
            <w:vAlign w:val="center"/>
            <w:tcBorders>
              <w:bottom w:val="single" w:sz="6" w:color="FFFFFF"/>
            </w:tcBorders>
          </w:tcPr>
          <w:p>
            <w:pPr>
              <w:spacing w:after="0"/>
              <w:jc w:val="left"/>
            </w:pPr>
            <w:r/>
            <w:r>
              <w:rPr>
                <w:rFonts w:ascii="Aptos" w:hAnsi="Aptos"/>
                <w:b w:val="0"/>
                <w:color w:val="1F2933"/>
                <w:sz w:val="18"/>
              </w:rPr>
              <w:t>Date: __________________</w:t>
            </w:r>
          </w:p>
        </w:tc>
      </w:tr>
      <w:tr>
        <w:tc>
          <w:tcPr>
            <w:tcW w:type="dxa" w:w="5256"/>
            <w:vAlign w:val="center"/>
          </w:tcPr>
          <w:p>
            <w:pPr>
              <w:spacing w:after="0"/>
              <w:jc w:val="left"/>
            </w:pPr>
            <w:r/>
            <w:r>
              <w:rPr>
                <w:rFonts w:ascii="Aptos" w:hAnsi="Aptos"/>
                <w:b/>
                <w:color w:val="1F2933"/>
                <w:sz w:val="18"/>
              </w:rPr>
              <w:t>Ragnhild Hendricks, Controller</w:t>
            </w:r>
          </w:p>
        </w:tc>
        <w:tc>
          <w:tcPr>
            <w:tcW w:type="dxa" w:w="5256"/>
            <w:vAlign w:val="center"/>
          </w:tcPr>
          <w:p>
            <w:pPr>
              <w:spacing w:after="0"/>
              <w:jc w:val="left"/>
            </w:pPr>
            <w:r/>
            <w:r>
              <w:rPr>
                <w:rFonts w:ascii="Aptos" w:hAnsi="Aptos"/>
                <w:b w:val="0"/>
                <w:color w:val="1F2933"/>
                <w:sz w:val="18"/>
              </w:rPr>
            </w:r>
          </w:p>
        </w:tc>
      </w:tr>
    </w:tbl>
    <w:sectPr w:rsidR="00FC693F" w:rsidRPr="0006063C" w:rsidSect="00034616">
      <w:footerReference w:type="default" r:id="rId9"/>
      <w:pgSz w:w="12240" w:h="15840"/>
      <w:pgMar w:top="691" w:right="864" w:bottom="749"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5"/>
      </w:rPr>
      <w:t>Affiliate-Transaction Compliance Certification Exhibit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Affiliate-Transaction Compliance Certification Exhibit</dc:title>
  <dc:subject>Wardenby Utilities — year ended 31 December 2025</dc:subject>
  <dc:creator>Lanternwood Supply</dc:creator>
  <cp:keywords/>
  <dc:description>generated by python-docx</dc:description>
  <cp:lastModifiedBy/>
  <cp:revision>1</cp:revision>
  <dcterms:created xsi:type="dcterms:W3CDTF">2013-12-23T23:15:00Z</dcterms:created>
  <dcterms:modified xsi:type="dcterms:W3CDTF">2013-12-23T23:15:00Z</dcterms:modified>
  <cp:category/>
</cp:coreProperties>
</file>