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7365D"/>
          <w:sz w:val="32"/>
        </w:rPr>
        <w:t>WEXMOOR FOUNDRY</w:t>
      </w:r>
    </w:p>
    <w:p>
      <w:pPr>
        <w:spacing w:after="160"/>
      </w:pPr>
      <w:r>
        <w:rPr>
          <w:rFonts w:ascii="Aptos" w:hAnsi="Aptos"/>
          <w:b/>
          <w:color w:val="1F7A8C"/>
          <w:sz w:val="24"/>
        </w:rPr>
        <w:t>Customer case response - draft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vAlign w:val="center"/>
            <w:shd w:fill="D9EAF7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To</w:t>
            </w:r>
          </w:p>
        </w:tc>
        <w:tc>
          <w:tcPr>
            <w:tcW w:type="dxa" w:w="7344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Tanneryside Associates</w:t>
            </w:r>
          </w:p>
        </w:tc>
      </w:tr>
      <w:tr>
        <w:tc>
          <w:tcPr>
            <w:tcW w:type="dxa" w:w="1800"/>
            <w:vAlign w:val="center"/>
            <w:shd w:fill="D9EAF7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Case</w:t>
            </w:r>
          </w:p>
        </w:tc>
        <w:tc>
          <w:tcPr>
            <w:tcW w:type="dxa" w:w="7344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Disputed facilities recharge | Booking TSA-771</w:t>
            </w:r>
          </w:p>
        </w:tc>
      </w:tr>
      <w:tr>
        <w:tc>
          <w:tcPr>
            <w:tcW w:type="dxa" w:w="1800"/>
            <w:vAlign w:val="center"/>
            <w:shd w:fill="D9EAF7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Prepared by</w:t>
            </w:r>
          </w:p>
        </w:tc>
        <w:tc>
          <w:tcPr>
            <w:tcW w:type="dxa" w:w="7344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Lidia Khouri, Concierge</w:t>
            </w:r>
          </w:p>
        </w:tc>
      </w:tr>
    </w:tbl>
    <w:p/>
    <w:p>
      <w:r>
        <w:t>Dear Tanneryside Associates,</w:t>
      </w:r>
    </w:p>
    <w:p>
      <w:r>
        <w:t xml:space="preserve">Thank you for raising the query about the facilities recharge for the tenant conference on 18 June 2026. We have reviewed the charges held against booking TSA-771 and our current recharge is </w:t>
      </w:r>
      <w:r>
        <w:rPr>
          <w:b/>
        </w:rPr>
        <w:t>$2,761.00.</w:t>
      </w:r>
    </w:p>
    <w:p>
      <w:r>
        <w:t>The amount below follows the legacy working values retained with the case file. Room-service entries have been kept at their booked quantities and the handoff entry has been included in the current figure.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2088"/>
      </w:tblGrid>
      <w:tr>
        <w:trPr>
          <w:tblHeader w:val="true"/>
        </w:trPr>
        <w:tc>
          <w:tcPr>
            <w:tcW w:type="dxa" w:w="5083"/>
            <w:vAlign w:val="center"/>
            <w:shd w:fill="17365D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Draft charge basis</w:t>
            </w:r>
          </w:p>
        </w:tc>
        <w:tc>
          <w:tcPr>
            <w:tcW w:type="dxa" w:w="5083"/>
            <w:vAlign w:val="center"/>
            <w:shd w:fill="17365D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6912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Conference suite</w:t>
            </w:r>
          </w:p>
        </w:tc>
        <w:tc>
          <w:tcPr>
            <w:tcW w:type="dxa" w:w="2088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8"/>
              </w:rPr>
              <w:t>$700.00</w:t>
            </w:r>
          </w:p>
        </w:tc>
      </w:tr>
      <w:tr>
        <w:tc>
          <w:tcPr>
            <w:tcW w:type="dxa" w:w="6912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AV and screen</w:t>
            </w:r>
          </w:p>
        </w:tc>
        <w:tc>
          <w:tcPr>
            <w:tcW w:type="dxa" w:w="2088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8"/>
              </w:rPr>
              <w:t>$325.00</w:t>
            </w:r>
          </w:p>
        </w:tc>
      </w:tr>
      <w:tr>
        <w:tc>
          <w:tcPr>
            <w:tcW w:type="dxa" w:w="6912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Room service</w:t>
            </w:r>
          </w:p>
        </w:tc>
        <w:tc>
          <w:tcPr>
            <w:tcW w:type="dxa" w:w="2088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8"/>
              </w:rPr>
              <w:t>$1,401.00</w:t>
            </w:r>
          </w:p>
        </w:tc>
      </w:tr>
      <w:tr>
        <w:tc>
          <w:tcPr>
            <w:tcW w:type="dxa" w:w="6912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Turnaround cleaning</w:t>
            </w:r>
          </w:p>
        </w:tc>
        <w:tc>
          <w:tcPr>
            <w:tcW w:type="dxa" w:w="2088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8"/>
              </w:rPr>
              <w:t>$190.00</w:t>
            </w:r>
          </w:p>
        </w:tc>
      </w:tr>
      <w:tr>
        <w:tc>
          <w:tcPr>
            <w:tcW w:type="dxa" w:w="6912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Evening access steward</w:t>
            </w:r>
          </w:p>
        </w:tc>
        <w:tc>
          <w:tcPr>
            <w:tcW w:type="dxa" w:w="2088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8"/>
              </w:rPr>
              <w:t>$145.00</w:t>
            </w:r>
          </w:p>
        </w:tc>
      </w:tr>
      <w:tr>
        <w:tc>
          <w:tcPr>
            <w:tcW w:type="dxa" w:w="6912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Current recharge</w:t>
            </w:r>
          </w:p>
        </w:tc>
        <w:tc>
          <w:tcPr>
            <w:tcW w:type="dxa" w:w="2088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8"/>
              </w:rPr>
              <w:t>$2,761.00</w:t>
            </w:r>
          </w:p>
        </w:tc>
      </w:tr>
    </w:tbl>
    <w:p/>
    <w:p>
      <w:pPr>
        <w:spacing w:after="80"/>
      </w:pPr>
      <w:r>
        <w:rPr>
          <w:b/>
        </w:rPr>
        <w:t xml:space="preserve">Source noted in this draft: </w:t>
      </w:r>
      <w:r>
        <w:t>Case records, Legacy helper calc (retired), rows 32-39; booking evidence for TSA-771.</w:t>
      </w:r>
    </w:p>
    <w:p>
      <w:r>
        <w:t>This draft reflects the working total available when the response was prepared.</w:t>
      </w:r>
    </w:p>
    <w:p>
      <w:pPr>
        <w:spacing w:before="120"/>
      </w:pPr>
      <w:r>
        <w:t>Regards,</w:t>
        <w:br/>
        <w:t>Lidia Khouri</w:t>
        <w:br/>
        <w:t>Wexmoor Foundry</w:t>
      </w:r>
    </w:p>
    <w:sectPr w:rsidR="00FC693F" w:rsidRPr="0006063C" w:rsidSect="00034616">
      <w:footerReference w:type="default" r:id="rId9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A4A4A"/>
        <w:sz w:val="16"/>
      </w:rPr>
      <w:t>Wexmoor Foundry | FR-60291 | Draft v0.3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Tanneryside facilities recharge case response draft</dc:title>
  <dc:subject>FR-60291</dc:subject>
  <dc:creator>Wexmoor Foundry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