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28"/>
        </w:rPr>
        <w:t>PHONE INTERPRETATION SERVICES — CONTRACT EXCERPT</w:t>
      </w:r>
    </w:p>
    <w:p>
      <w:pPr>
        <w:jc w:val="center"/>
      </w:pPr>
      <w:r>
        <w:rPr>
          <w:b/>
        </w:rPr>
        <w:t>Marchbank Instruments | KBC-INT-MI-2025-04</w:t>
      </w:r>
      <w:r>
        <w:t xml:space="preserve"> | Effective 1 April 2025 to 31 March 2027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rPr>
                <w:b/>
              </w:rPr>
              <w:t>Supplier</w:t>
              <w:br/>
            </w:r>
            <w:r>
              <w:t>Marchbank Instruments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</w:rPr>
              <w:t>Service</w:t>
              <w:br/>
            </w:r>
            <w:r>
              <w:t>Telephone interpretation for Kestrel Bay Community Health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</w:rPr>
              <w:t>Covered language requests</w:t>
              <w:br/>
            </w:r>
            <w:r>
              <w:t>Somali and Pashto, subject to booking availability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</w:rPr>
              <w:t>Contract identifier</w:t>
              <w:br/>
            </w:r>
            <w:r>
              <w:t>KBC-INT-MI-2025-04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</w:rPr>
              <w:t>Effective period</w:t>
              <w:br/>
            </w:r>
            <w:r>
              <w:t>1 April 2025 to 31 March 2027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</w:rPr>
              <w:t>Invoice basis</w:t>
              <w:br/>
            </w:r>
            <w:r>
              <w:t>One invoice line per booked telephone interpretation event</w:t>
            </w:r>
          </w:p>
        </w:tc>
      </w:tr>
    </w:tbl>
    <w:p/>
    <w:p>
      <w:r>
        <w:rPr>
          <w:b/>
          <w:sz w:val="22"/>
        </w:rPr>
        <w:t>Billing clauses</w:t>
      </w:r>
    </w:p>
    <w:p>
      <w:pPr>
        <w:pStyle w:val="ListBullet"/>
      </w:pPr>
      <w:r>
        <w:rPr>
          <w:b/>
        </w:rPr>
        <w:t xml:space="preserve">M-01 Daytime rate  </w:t>
      </w:r>
      <w:r>
        <w:t>Daytime telephone interpretation is billed at $1.90 per billable minute.</w:t>
      </w:r>
    </w:p>
    <w:p>
      <w:pPr>
        <w:pStyle w:val="ListBullet"/>
      </w:pPr>
      <w:r>
        <w:rPr>
          <w:b/>
        </w:rPr>
        <w:t xml:space="preserve">M-02 Minimum and increments  </w:t>
      </w:r>
      <w:r>
        <w:t>Each completed telephone interpretation has a 30-minute minimum. Time above the minimum is rounded up in 15-minute increments.</w:t>
      </w:r>
    </w:p>
    <w:p>
      <w:pPr>
        <w:pStyle w:val="ListBullet"/>
      </w:pPr>
      <w:r>
        <w:rPr>
          <w:b/>
        </w:rPr>
        <w:t xml:space="preserve">M-03 After-hours  </w:t>
      </w:r>
      <w:r>
        <w:t>After-hours is 6:00 p.m. through 8:00 a.m. Monday through Friday, and all day Saturday and Sunday. The applicable rate is 1.50 times the daytime rate.</w:t>
      </w:r>
    </w:p>
    <w:p>
      <w:pPr>
        <w:pStyle w:val="ListBullet"/>
      </w:pPr>
      <w:r>
        <w:rPr>
          <w:b/>
        </w:rPr>
        <w:t xml:space="preserve">M-04 Cancellation  </w:t>
      </w:r>
      <w:r>
        <w:t>A clinic cancellation received less than 24 hours before scheduled start is billed for 30 minutes at the rate applicable to the scheduled time. A clinic cancellation received 24 hours or more before scheduled start, or a cancellation by Marchbank Instruments, is not billable.</w:t>
      </w:r>
    </w:p>
    <w:p>
      <w:pPr>
        <w:pStyle w:val="ListBullet"/>
      </w:pPr>
      <w:r>
        <w:rPr>
          <w:b/>
        </w:rPr>
        <w:t xml:space="preserve">M-05 Patient no-show  </w:t>
      </w:r>
      <w:r>
        <w:t>When the booked patient does not join the telephone call at scheduled start, the event is billed for 30 minutes at the rate applicable to the scheduled time.</w:t>
      </w:r>
    </w:p>
    <w:p>
      <w:r>
        <w:t>Administrative note: times are local Kestrel Bay time. The clinic retains booking and cancellation evidence with the invoice.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KBC-INT-MI-2025-04 • Contract excerpt • Kestrel Bay Community Health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