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b/>
          <w:color w:val="2D7F7B"/>
          <w:sz w:val="16"/>
        </w:rPr>
        <w:t>DECISION BRIEF  |  14 AUGUST 2026</w:t>
      </w:r>
    </w:p>
    <w:p>
      <w:pPr>
        <w:pStyle w:val="Title"/>
      </w:pPr>
      <w:r>
        <w:t>Amberfield Works</w:t>
        <w:br/>
      </w:r>
      <w:r>
        <w:rPr>
          <w:color w:val="2D7F7B"/>
          <w:sz w:val="34"/>
        </w:rPr>
        <w:t>September apprenticeship attention forecast</w:t>
      </w:r>
    </w:p>
    <w:p>
      <w:r>
        <w:rPr>
          <w:color w:val="5F6B73"/>
        </w:rPr>
        <w:t>Internal planning package for Priya Salcedo, Edith Wickramasinghe, and the cross-functional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Planning date</w:t>
              <w:br/>
            </w:r>
            <w:r>
              <w:rPr>
                <w:sz w:val="18"/>
              </w:rPr>
              <w:t>18 Sep 2026</w:t>
            </w:r>
          </w:p>
        </w:tc>
        <w:tc>
          <w:tcPr>
            <w:tcW w:type="dxa" w:w="3456"/>
            <w:shd w:fill="EAF2F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Baseline window</w:t>
              <w:br/>
            </w:r>
            <w:r>
              <w:rPr>
                <w:sz w:val="18"/>
              </w:rPr>
              <w:t>17-24 Sep 2026</w:t>
            </w:r>
          </w:p>
        </w:tc>
        <w:tc>
          <w:tcPr>
            <w:tcW w:type="dxa" w:w="3456"/>
            <w:shd w:fill="EAF2F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b/>
                <w:sz w:val="16"/>
              </w:rPr>
              <w:t>Audit trail</w:t>
              <w:br/>
            </w:r>
            <w:r>
              <w:rPr>
                <w:sz w:val="18"/>
              </w:rPr>
              <w:t>Evidence workbook: Signal Log and Decision Log</w:t>
            </w:r>
          </w:p>
        </w:tc>
      </w:tr>
    </w:tbl>
    <w:p>
      <w:pPr>
        <w:pStyle w:val="Heading1"/>
      </w:pPr>
      <w:r>
        <w:t>Executive outlook</w:t>
      </w:r>
    </w:p>
    <w:p>
      <w:r>
        <w:rPr>
          <w:b/>
          <w:color w:val="D97742"/>
        </w:rPr>
        <w:t xml:space="preserve">Planning scenarios, not predictions. </w:t>
      </w:r>
      <w:r>
        <w:t>For the 18 Sep 2026 announcement, the Baseline planning case totals 14 whole mentions across 17-24 Sep 2026. The purpose is to hold spokesperson and monitoring capacity, not to assert that coverage will occur. The High-interest capacity case totals 37; North &amp; Borders is the first staffing priority because its regional High-interest result is 20.</w:t>
      </w:r>
    </w:p>
    <w:p>
      <w:pPr>
        <w:pStyle w:val="Heading1"/>
      </w:pPr>
      <w:r>
        <w:t>Evidence base</w:t>
      </w:r>
    </w:p>
    <w:p>
      <w:r>
        <w:t>The evidence workbook retains 31 source records from the April 2024 intake and September 2024 workshop-intake analogues. Reconciliation produces 22 distinct eligible earned editorial items: one canonical item per true network cluster, with owned, paid, calendar, and administrative entries excluded. A similarly themed Rivergate local rewrite is retained separately because its source note records a workshop visit, local coordinator comment, and site-specific context absent from the network item.</w:t>
      </w:r>
    </w:p>
    <w:p>
      <w:r>
        <w:t>Two metadata fixes are supported in the retained notes: SIG-004 uses 11 Apr 2024 rather than 10 Apr 2024, and SIG-019 is assigned to North &amp; Borders rather than Central Counties. SIG-027 has no supportable outlet attribution and remains blank. These details, group identifiers, and row-level rationales are held in the Signal Log and Decision Log.</w:t>
      </w:r>
    </w:p>
    <w:p>
      <w:pPr>
        <w:pStyle w:val="Heading1"/>
      </w:pPr>
      <w:r>
        <w:t>Scenario forecast</w:t>
      </w:r>
    </w:p>
    <w:p>
      <w:r>
        <w:t>All estimates use whole-mention rounding. The scenarios change planning assumptions, not the underlying historical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9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Monitoring window</w:t>
            </w:r>
          </w:p>
        </w:tc>
        <w:tc>
          <w:tcPr>
            <w:tcW w:type="dxa" w:w="259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Package total</w:t>
            </w:r>
          </w:p>
        </w:tc>
        <w:tc>
          <w:tcPr>
            <w:tcW w:type="dxa" w:w="259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Planning distinction</w:t>
            </w:r>
          </w:p>
        </w:tc>
      </w:tr>
      <w:tr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17-24 Sep 2026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Median eligible analogue count x readiness plus converted confirmed pitches.</w:t>
            </w:r>
          </w:p>
        </w:tc>
      </w:tr>
      <w:tr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Delayed-launch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1-8 Oct 2026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Window shifts 14 days; 65% retention is a separate planning input.</w:t>
            </w:r>
          </w:p>
        </w:tc>
      </w:tr>
      <w:tr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High-interest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17-24 Sep 2026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7"/>
              </w:rPr>
              <w:t>Baseline x 210% plus the regional-hook increment.</w:t>
            </w:r>
          </w:p>
        </w:tc>
      </w:tr>
    </w:tbl>
    <w:p>
      <w:r>
        <w:t>Delayed-launch changes timing first: its intensive window is moved to 1-8 Oct 2026. The retention factor then produces a planning estimate of 10; it is not a statement that interest has already declined.</w:t>
      </w:r>
    </w:p>
    <w:p>
      <w:r>
        <w:br w:type="page"/>
      </w:r>
    </w:p>
    <w:p>
      <w:pPr>
        <w:pStyle w:val="Heading1"/>
      </w:pPr>
      <w:r>
        <w:t>Regional implications</w:t>
      </w:r>
    </w:p>
    <w:p>
      <w:r>
        <w:t>Regional estimates and allocations are shown below. Shares use each scenario's package total as the denominator.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7F7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1728"/>
            <w:shd w:fill="2D7F7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1728"/>
            <w:shd w:fill="2D7F7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Delayed-launch</w:t>
            </w:r>
          </w:p>
        </w:tc>
        <w:tc>
          <w:tcPr>
            <w:tcW w:type="dxa" w:w="1728"/>
            <w:shd w:fill="2D7F7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High-interest</w:t>
            </w:r>
          </w:p>
        </w:tc>
        <w:tc>
          <w:tcPr>
            <w:tcW w:type="dxa" w:w="1728"/>
            <w:shd w:fill="2D7F7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Baseline share</w:t>
            </w:r>
          </w:p>
        </w:tc>
        <w:tc>
          <w:tcPr>
            <w:tcW w:type="dxa" w:w="1728"/>
            <w:shd w:fill="2D7F7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High-interest share</w:t>
            </w:r>
          </w:p>
        </w:tc>
      </w:tr>
      <w:t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North &amp; Borders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54.1%</w:t>
            </w:r>
          </w:p>
        </w:tc>
      </w:tr>
      <w:t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Central Counties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28.6%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27.0%</w:t>
            </w:r>
          </w:p>
        </w:tc>
      </w:tr>
      <w:t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Coastal South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21.4%</w:t>
            </w:r>
          </w:p>
        </w:tc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6"/>
              </w:rPr>
              <w:t>18.9%</w:t>
            </w:r>
          </w:p>
        </w:tc>
      </w:tr>
    </w:tbl>
    <w:p>
      <w:r>
        <w:t>The North &amp; Borders High-interest result is 20, above the unfinished template's draft maximum of 15. It remains a full numeric result in the workbook and briefing, with an automatic chart range, so capacity is not understated.</w:t>
      </w:r>
    </w:p>
    <w:p>
      <w:pPr>
        <w:pStyle w:val="Heading1"/>
      </w:pPr>
      <w:r>
        <w:t>Monitoring plan</w:t>
      </w:r>
    </w:p>
    <w:p>
      <w:r>
        <w:t>Hold the primary spokesperson response and first-pass monitoring in North &amp; Borders from 17-24 Sep 2026; it carries 50.0% of Baseline allocation and 54.1% of High-interest allocation. Central Counties remains the secondary watch area, while Coastal South should retain a light but active local scan. If the launch moves, move the intensive staffing block to 1-8 Oct 2026 before applying the Delayed-launch capacity assumption.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566B7A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2592"/>
            <w:shd w:fill="566B7A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92"/>
            <w:shd w:fill="566B7A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Register action</w:t>
            </w:r>
          </w:p>
        </w:tc>
        <w:tc>
          <w:tcPr>
            <w:tcW w:type="dxa" w:w="2592"/>
            <w:shd w:fill="566B7A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  <w:color w:val="FFFFFF"/>
                <w:sz w:val="17"/>
              </w:rPr>
              <w:t>Reassessment trigger</w:t>
            </w:r>
          </w:p>
        </w:tc>
      </w:tr>
      <w:tr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17-24 Sep 2026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North &amp; Borders first; Central Counties second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Log each observed mention and select controlled region, window, status, and originality values.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Compare observed original items with the Baseline pace after the first 48 hours.</w:t>
            </w:r>
          </w:p>
        </w:tc>
      </w:tr>
      <w:tr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1-8 Oct 2026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Move intensive cover with the announced timing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Use Delayed-launch as the Scenario Window; do not enter forecast values as observations.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Reconfirm timing, then review whether the retention assumption still provides enough cover.</w:t>
            </w:r>
          </w:p>
        </w:tc>
      </w:tr>
    </w:tbl>
    <w:p>
      <w:pPr>
        <w:pStyle w:val="Heading1"/>
      </w:pPr>
      <w:r>
        <w:t>Assumptions, corrections and judgements</w:t>
      </w:r>
    </w:p>
    <w:p>
      <w:r>
        <w:t>The model uses a 18 Sep 2026 planned launch, one-day lead-in, eight-day intensive window, 14-day delay interval, 65% Delayed-launch retention, 210% High-interest uplift, and the region-specific readiness, confirmed-pitch, and hook inputs held in Scenario Model. These are agreed internal planning assumptions and may be adjusted in the live workbook during the meeting.</w:t>
      </w:r>
    </w:p>
    <w:p>
      <w:r>
        <w:t>The consequential source judgement is conservative: true network copies are counted once, but a separately reported local rewrite is not mechanically collapsed. Supported corrections are visible in the used fields and Decision Log; unsupported metadata is left unresolved. The blank Monitoring Register is for observed records only. The first post-announcement check should compare logged original items, duplicate treatment, regional concentration, and timing against the planning case before any staffing adjustment.</w:t>
      </w:r>
    </w:p>
    <w:p>
      <w:r>
        <w:rPr>
          <w:b/>
          <w:color w:val="D97742"/>
        </w:rPr>
        <w:t>Planning scenarios, not predictions.</w:t>
      </w:r>
      <w:r>
        <w:t xml:space="preserve"> The evidence workbook controls the detailed audit trail.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3"/>
        <w:sz w:val="16"/>
      </w:rPr>
      <w:t>Amberfield Works media-attention forecast |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B73"/>
        <w:sz w:val="16"/>
      </w:rPr>
      <w:t>LARKMEAD COLLECTIVE  |  INTERNAL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Amberfield Works media attention forecast</dc:title>
  <dc:subject>Internal planning forecast</dc:subject>
  <dc:creator>Larkmead Collective Communications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