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rial" w:hAnsi="Arial" w:eastAsia="Arial"/>
          <w:b/>
          <w:i w:val="0"/>
          <w:color w:val="007C78"/>
          <w:sz w:val="16"/>
        </w:rPr>
        <w:t>LEARNER MATERIAL | CONTRACT-RENEWAL WORKSHOP</w:t>
      </w:r>
    </w:p>
    <w:p>
      <w:pPr>
        <w:pStyle w:val="Heading1"/>
        <w:spacing w:before="0" w:after="40"/>
      </w:pPr>
      <w:r>
        <w:rPr>
          <w:rFonts w:ascii="Arial" w:hAnsi="Arial" w:eastAsia="Arial"/>
          <w:b/>
          <w:i w:val="0"/>
          <w:color w:val="17324D"/>
          <w:sz w:val="34"/>
        </w:rPr>
        <w:t>Delivery Date: Renewal Workshop Pack</w:t>
      </w:r>
    </w:p>
    <w:p>
      <w:pPr>
        <w:spacing w:after="100"/>
      </w:pPr>
      <w:r>
        <w:rPr>
          <w:rFonts w:ascii="Arial" w:hAnsi="Arial" w:eastAsia="Arial"/>
          <w:b w:val="0"/>
          <w:i w:val="0"/>
          <w:color w:val="52616B"/>
          <w:sz w:val="19"/>
        </w:rPr>
        <w:t>For Eldergrove Partners sales staff and contracting stakeholders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527"/>
      </w:tblGrid>
      <w:tr>
        <w:tc>
          <w:tcPr>
            <w:tcW w:type="dxa" w:w="10440"/>
            <w:shd w:fill="007C78"/>
            <w:tcMar>
              <w:top w:w="14" w:type="dxa"/>
              <w:start w:w="0" w:type="dxa"/>
              <w:bottom w:w="14" w:type="dxa"/>
              <w:end w:w="0" w:type="dxa"/>
            </w:tcMar>
          </w:tcPr>
          <w:p>
            <w:r/>
          </w:p>
        </w:tc>
      </w:tr>
    </w:tbl>
    <w:p>
      <w:pPr>
        <w:spacing w:after="100" w:line="247" w:lineRule="auto"/>
      </w:pPr>
      <w:r>
        <w:rPr>
          <w:rFonts w:ascii="Arial" w:hAnsi="Arial" w:eastAsia="Arial"/>
          <w:b/>
          <w:i w:val="0"/>
          <w:color w:val="1E2933"/>
          <w:sz w:val="19"/>
        </w:rPr>
        <w:t>Purpose:</w:t>
      </w:r>
      <w:r>
        <w:rPr>
          <w:rFonts w:ascii="Arial" w:hAnsi="Arial" w:eastAsia="Arial"/>
          <w:b w:val="0"/>
          <w:i w:val="0"/>
          <w:color w:val="1E2933"/>
          <w:sz w:val="19"/>
        </w:rPr>
        <w:t xml:space="preserve"> prepare for the contract-renewal workshop and handle the contested delivery-date term in a controlled, practical way.</w:t>
      </w:r>
    </w:p>
    <w:p>
      <w:pPr>
        <w:pStyle w:val="Heading2"/>
        <w:spacing w:before="100" w:after="40"/>
      </w:pPr>
      <w:r>
        <w:rPr>
          <w:rFonts w:ascii="Arial" w:hAnsi="Arial" w:eastAsia="Arial"/>
          <w:b/>
          <w:i w:val="0"/>
          <w:color w:val="007C78"/>
          <w:sz w:val="23"/>
        </w:rPr>
        <w:t>By the end of the workshop, participants can</w:t>
      </w:r>
    </w:p>
    <w:p>
      <w:pPr>
        <w:spacing w:after="40"/>
        <w:ind w:left="216" w:hanging="173"/>
      </w:pPr>
      <w:r>
        <w:rPr>
          <w:rFonts w:ascii="Arial" w:hAnsi="Arial" w:eastAsia="Arial"/>
          <w:b/>
          <w:i w:val="0"/>
          <w:color w:val="007C78"/>
          <w:sz w:val="17"/>
        </w:rPr>
        <w:t xml:space="preserve">- </w:t>
      </w:r>
      <w:r>
        <w:rPr>
          <w:rFonts w:ascii="Arial" w:hAnsi="Arial" w:eastAsia="Arial"/>
          <w:b w:val="0"/>
          <w:i w:val="0"/>
          <w:color w:val="1E2933"/>
          <w:sz w:val="17"/>
        </w:rPr>
        <w:t>distinguish DISPATCH, RECEIPT, and UNCONFIRMED as different contractual date bases.</w:t>
      </w:r>
    </w:p>
    <w:p>
      <w:pPr>
        <w:spacing w:after="40"/>
        <w:ind w:left="216" w:hanging="173"/>
      </w:pPr>
      <w:r>
        <w:rPr>
          <w:rFonts w:ascii="Arial" w:hAnsi="Arial" w:eastAsia="Arial"/>
          <w:b/>
          <w:i w:val="0"/>
          <w:color w:val="007C78"/>
          <w:sz w:val="17"/>
        </w:rPr>
        <w:t xml:space="preserve">- </w:t>
      </w:r>
      <w:r>
        <w:rPr>
          <w:rFonts w:ascii="Arial" w:hAnsi="Arial" w:eastAsia="Arial"/>
          <w:b w:val="0"/>
          <w:i w:val="0"/>
          <w:color w:val="1E2933"/>
          <w:sz w:val="17"/>
        </w:rPr>
        <w:t>check the signed agreement before recording or communicating a delivery-date basis.</w:t>
      </w:r>
    </w:p>
    <w:p>
      <w:pPr>
        <w:spacing w:after="40"/>
        <w:ind w:left="216" w:hanging="173"/>
      </w:pPr>
      <w:r>
        <w:rPr>
          <w:rFonts w:ascii="Arial" w:hAnsi="Arial" w:eastAsia="Arial"/>
          <w:b/>
          <w:i w:val="0"/>
          <w:color w:val="007C78"/>
          <w:sz w:val="17"/>
        </w:rPr>
        <w:t xml:space="preserve">- </w:t>
      </w:r>
      <w:r>
        <w:rPr>
          <w:rFonts w:ascii="Arial" w:hAnsi="Arial" w:eastAsia="Arial"/>
          <w:b w:val="0"/>
          <w:i w:val="0"/>
          <w:color w:val="1E2933"/>
          <w:sz w:val="17"/>
        </w:rPr>
        <w:t>respond promptly to a customer while reserving legal interpretation for contractual ambiguity.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263"/>
        <w:gridCol w:w="5263"/>
      </w:tblGrid>
      <w:tr>
        <w:tc>
          <w:tcPr>
            <w:tcW w:type="dxa" w:w="1800"/>
            <w:shd w:fill="2D6A4F"/>
            <w:tcBorders>
              <w:top w:val="single" w:sz="6" w:color="2D6A4F"/>
              <w:left w:val="single" w:sz="6" w:color="2D6A4F"/>
              <w:bottom w:val="single" w:sz="6" w:color="2D6A4F"/>
              <w:right w:val="single" w:sz="6" w:color="2D6A4F"/>
            </w:tcBorders>
            <w:tcMar>
              <w:top w:w="100" w:type="dxa"/>
              <w:start w:w="105" w:type="dxa"/>
              <w:bottom w:w="100" w:type="dxa"/>
              <w:end w:w="105" w:type="dxa"/>
            </w:tcMar>
          </w:tcPr>
          <w:p>
            <w:pPr>
              <w:spacing w:after="40" w:before="0"/>
              <w:jc w:val="center"/>
            </w:pPr>
            <w:r/>
            <w:r>
              <w:rPr>
                <w:rFonts w:ascii="Arial" w:hAnsi="Arial" w:eastAsia="Arial"/>
                <w:b/>
                <w:i w:val="0"/>
                <w:color w:val="FFFFFF"/>
                <w:sz w:val="16"/>
              </w:rPr>
              <w:t>WORKING RECOMMENDATION</w:t>
            </w:r>
          </w:p>
        </w:tc>
        <w:tc>
          <w:tcPr>
            <w:tcW w:type="dxa" w:w="8640"/>
            <w:shd w:fill="EAF4EC"/>
            <w:tcBorders>
              <w:top w:val="single" w:sz="6" w:color="EAF4EC"/>
              <w:left w:val="single" w:sz="6" w:color="EAF4EC"/>
              <w:bottom w:val="single" w:sz="6" w:color="EAF4EC"/>
              <w:right w:val="single" w:sz="6" w:color="EAF4EC"/>
            </w:tcBorders>
            <w:tcMar>
              <w:top w:w="100" w:type="dxa"/>
              <w:start w:w="105" w:type="dxa"/>
              <w:bottom w:w="100" w:type="dxa"/>
              <w:end w:w="105" w:type="dxa"/>
            </w:tcMar>
          </w:tcPr>
          <w:p>
            <w:pPr>
              <w:spacing w:after="40" w:before="0"/>
              <w:jc w:val="left"/>
            </w:pPr>
            <w:r/>
            <w:r>
              <w:rPr>
                <w:rFonts w:ascii="Arial" w:hAnsi="Arial" w:eastAsia="Arial"/>
                <w:b w:val="0"/>
                <w:i w:val="0"/>
                <w:color w:val="1E2933"/>
                <w:sz w:val="17"/>
              </w:rPr>
              <w:t>Use the event expressly defined in the signed contract. Do not select dispatch or receipt merely from jurisdiction.</w:t>
            </w:r>
          </w:p>
        </w:tc>
      </w:tr>
    </w:tbl>
    <w:p>
      <w:pPr>
        <w:pStyle w:val="Heading2"/>
        <w:spacing w:before="100" w:after="40"/>
      </w:pPr>
      <w:r>
        <w:rPr>
          <w:rFonts w:ascii="Arial" w:hAnsi="Arial" w:eastAsia="Arial"/>
          <w:b/>
          <w:i w:val="0"/>
          <w:color w:val="007C78"/>
          <w:sz w:val="23"/>
        </w:rPr>
        <w:t>What this pack is and is not</w:t>
      </w:r>
    </w:p>
    <w:p>
      <w:pPr>
        <w:spacing w:after="60" w:line="247" w:lineRule="auto"/>
      </w:pPr>
      <w:r>
        <w:rPr>
          <w:rFonts w:ascii="Arial" w:hAnsi="Arial" w:eastAsia="Arial"/>
          <w:b w:val="0"/>
          <w:i w:val="0"/>
          <w:color w:val="1E2933"/>
          <w:sz w:val="18"/>
        </w:rPr>
        <w:t>This is operational training guidance based on the frozen internal legal review as of 14 June 2026. It is not legal advice and does not state universal English or Scottish legal rules.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632"/>
        <w:gridCol w:w="2632"/>
        <w:gridCol w:w="2632"/>
        <w:gridCol w:w="2632"/>
      </w:tblGrid>
      <w:tr>
        <w:tc>
          <w:tcPr>
            <w:tcW w:type="dxa" w:w="2563"/>
            <w:shd w:fill="E9F1F6"/>
            <w:tcBorders>
              <w:top w:val="single" w:sz="6" w:color="E9F1F6"/>
              <w:left w:val="single" w:sz="6" w:color="E9F1F6"/>
              <w:bottom w:val="single" w:sz="6" w:color="E9F1F6"/>
              <w:right w:val="single" w:sz="6" w:color="E9F1F6"/>
            </w:tcBorders>
            <w:tcMar>
              <w:top w:w="100" w:type="dxa"/>
              <w:start w:w="105" w:type="dxa"/>
              <w:bottom w:w="100" w:type="dxa"/>
              <w:end w:w="105" w:type="dxa"/>
            </w:tcMar>
          </w:tcPr>
          <w:p>
            <w:pPr>
              <w:spacing w:after="40" w:before="0"/>
              <w:jc w:val="left"/>
            </w:pPr>
            <w:r/>
            <w:r>
              <w:rPr>
                <w:rFonts w:ascii="Arial" w:hAnsi="Arial" w:eastAsia="Arial"/>
                <w:b/>
                <w:i w:val="0"/>
                <w:color w:val="17324D"/>
                <w:sz w:val="18"/>
              </w:rPr>
              <w:t>1. Name it</w:t>
            </w:r>
          </w:p>
          <w:p>
            <w:pPr>
              <w:spacing w:after="40" w:before="0"/>
              <w:jc w:val="left"/>
            </w:pPr>
            <w:r>
              <w:rPr>
                <w:rFonts w:ascii="Arial" w:hAnsi="Arial" w:eastAsia="Arial"/>
                <w:b w:val="0"/>
                <w:i w:val="0"/>
                <w:color w:val="1E2933"/>
                <w:sz w:val="16"/>
              </w:rPr>
              <w:t>Event and evidence</w:t>
            </w:r>
          </w:p>
        </w:tc>
        <w:tc>
          <w:tcPr>
            <w:tcW w:type="dxa" w:w="2563"/>
            <w:shd w:fill="E7F4F2"/>
            <w:tcBorders>
              <w:top w:val="single" w:sz="6" w:color="E7F4F2"/>
              <w:left w:val="single" w:sz="6" w:color="E7F4F2"/>
              <w:bottom w:val="single" w:sz="6" w:color="E7F4F2"/>
              <w:right w:val="single" w:sz="6" w:color="E7F4F2"/>
            </w:tcBorders>
            <w:tcMar>
              <w:top w:w="100" w:type="dxa"/>
              <w:start w:w="105" w:type="dxa"/>
              <w:bottom w:w="100" w:type="dxa"/>
              <w:end w:w="105" w:type="dxa"/>
            </w:tcMar>
          </w:tcPr>
          <w:p>
            <w:pPr>
              <w:spacing w:after="40" w:before="0"/>
              <w:jc w:val="left"/>
            </w:pPr>
            <w:r/>
            <w:r>
              <w:rPr>
                <w:rFonts w:ascii="Arial" w:hAnsi="Arial" w:eastAsia="Arial"/>
                <w:b/>
                <w:i w:val="0"/>
                <w:color w:val="007C78"/>
                <w:sz w:val="18"/>
              </w:rPr>
              <w:t>2. Control it</w:t>
            </w:r>
          </w:p>
          <w:p>
            <w:pPr>
              <w:spacing w:after="40" w:before="0"/>
              <w:jc w:val="left"/>
            </w:pPr>
            <w:r>
              <w:rPr>
                <w:rFonts w:ascii="Arial" w:hAnsi="Arial" w:eastAsia="Arial"/>
                <w:b w:val="0"/>
                <w:i w:val="0"/>
                <w:color w:val="1E2933"/>
                <w:sz w:val="16"/>
              </w:rPr>
              <w:t>Procedure and boundary</w:t>
            </w:r>
          </w:p>
        </w:tc>
        <w:tc>
          <w:tcPr>
            <w:tcW w:type="dxa" w:w="2563"/>
            <w:shd w:fill="FBF3E3"/>
            <w:tcBorders>
              <w:top w:val="single" w:sz="6" w:color="FBF3E3"/>
              <w:left w:val="single" w:sz="6" w:color="FBF3E3"/>
              <w:bottom w:val="single" w:sz="6" w:color="FBF3E3"/>
              <w:right w:val="single" w:sz="6" w:color="FBF3E3"/>
            </w:tcBorders>
            <w:tcMar>
              <w:top w:w="100" w:type="dxa"/>
              <w:start w:w="105" w:type="dxa"/>
              <w:bottom w:w="100" w:type="dxa"/>
              <w:end w:w="105" w:type="dxa"/>
            </w:tcMar>
          </w:tcPr>
          <w:p>
            <w:pPr>
              <w:spacing w:after="40" w:before="0"/>
              <w:jc w:val="left"/>
            </w:pPr>
            <w:r/>
            <w:r>
              <w:rPr>
                <w:rFonts w:ascii="Arial" w:hAnsi="Arial" w:eastAsia="Arial"/>
                <w:b/>
                <w:i w:val="0"/>
                <w:color w:val="B07B18"/>
                <w:sz w:val="18"/>
              </w:rPr>
              <w:t>3. Change it</w:t>
            </w:r>
          </w:p>
          <w:p>
            <w:pPr>
              <w:spacing w:after="40" w:before="0"/>
              <w:jc w:val="left"/>
            </w:pPr>
            <w:r>
              <w:rPr>
                <w:rFonts w:ascii="Arial" w:hAnsi="Arial" w:eastAsia="Arial"/>
                <w:b w:val="0"/>
                <w:i w:val="0"/>
                <w:color w:val="1E2933"/>
                <w:sz w:val="16"/>
              </w:rPr>
              <w:t>Transition and audit</w:t>
            </w:r>
          </w:p>
        </w:tc>
        <w:tc>
          <w:tcPr>
            <w:tcW w:type="dxa" w:w="2563"/>
            <w:shd w:fill="F8ECE8"/>
            <w:tcBorders>
              <w:top w:val="single" w:sz="6" w:color="F8ECE8"/>
              <w:left w:val="single" w:sz="6" w:color="F8ECE8"/>
              <w:bottom w:val="single" w:sz="6" w:color="F8ECE8"/>
              <w:right w:val="single" w:sz="6" w:color="F8ECE8"/>
            </w:tcBorders>
            <w:tcMar>
              <w:top w:w="100" w:type="dxa"/>
              <w:start w:w="105" w:type="dxa"/>
              <w:bottom w:w="100" w:type="dxa"/>
              <w:end w:w="105" w:type="dxa"/>
            </w:tcMar>
          </w:tcPr>
          <w:p>
            <w:pPr>
              <w:spacing w:after="40" w:before="0"/>
              <w:jc w:val="left"/>
            </w:pPr>
            <w:r/>
            <w:r>
              <w:rPr>
                <w:rFonts w:ascii="Arial" w:hAnsi="Arial" w:eastAsia="Arial"/>
                <w:b/>
                <w:i w:val="0"/>
                <w:color w:val="B6503C"/>
                <w:sz w:val="18"/>
              </w:rPr>
              <w:t>4. Use it</w:t>
            </w:r>
          </w:p>
          <w:p>
            <w:pPr>
              <w:spacing w:after="40" w:before="0"/>
              <w:jc w:val="left"/>
            </w:pPr>
            <w:r>
              <w:rPr>
                <w:rFonts w:ascii="Arial" w:hAnsi="Arial" w:eastAsia="Arial"/>
                <w:b w:val="0"/>
                <w:i w:val="0"/>
                <w:color w:val="1E2933"/>
                <w:sz w:val="16"/>
              </w:rPr>
              <w:t>Timing and ownership</w:t>
            </w:r>
          </w:p>
        </w:tc>
      </w:tr>
    </w:tbl>
    <w:p>
      <w:pPr>
        <w:spacing w:after="0" w:line="247" w:lineRule="auto"/>
      </w:pPr>
      <w:r>
        <w:rPr>
          <w:rFonts w:ascii="Arial" w:hAnsi="Arial" w:eastAsia="Arial"/>
          <w:b w:val="0"/>
          <w:i w:val="0"/>
          <w:color w:val="52616B"/>
          <w:sz w:val="16"/>
        </w:rPr>
        <w:t>Learner pages 1-5 are followed by an editable Facilitator Workbook on pages 6-8.</w:t>
      </w:r>
    </w:p>
    <w:p>
      <w:r>
        <w:br w:type="page"/>
      </w:r>
    </w:p>
    <w:p>
      <w:pPr>
        <w:spacing w:after="20"/>
      </w:pPr>
      <w:r>
        <w:rPr>
          <w:rFonts w:ascii="Arial" w:hAnsi="Arial" w:eastAsia="Arial"/>
          <w:b/>
          <w:i w:val="0"/>
          <w:color w:val="007C78"/>
          <w:sz w:val="16"/>
        </w:rPr>
        <w:t>LEARNER MATERIAL | 1 OF 4</w:t>
      </w:r>
    </w:p>
    <w:p>
      <w:pPr>
        <w:pStyle w:val="Heading1"/>
        <w:spacing w:before="0" w:after="40"/>
      </w:pPr>
      <w:r>
        <w:rPr>
          <w:rFonts w:ascii="Arial" w:hAnsi="Arial" w:eastAsia="Arial"/>
          <w:b/>
          <w:i w:val="0"/>
          <w:color w:val="17324D"/>
          <w:sz w:val="34"/>
        </w:rPr>
        <w:t>1 | Name the contractual event</w:t>
      </w:r>
    </w:p>
    <w:p>
      <w:pPr>
        <w:spacing w:after="100"/>
      </w:pPr>
      <w:r>
        <w:rPr>
          <w:rFonts w:ascii="Arial" w:hAnsi="Arial" w:eastAsia="Arial"/>
          <w:b w:val="0"/>
          <w:i w:val="0"/>
          <w:color w:val="52616B"/>
          <w:sz w:val="19"/>
        </w:rPr>
        <w:t>Dispatch and customer receipt are different events. The evidence and timing follow the wording that is actually signed.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527"/>
      </w:tblGrid>
      <w:tr>
        <w:tc>
          <w:tcPr>
            <w:tcW w:type="dxa" w:w="10440"/>
            <w:shd w:fill="007C78"/>
            <w:tcMar>
              <w:top w:w="14" w:type="dxa"/>
              <w:start w:w="0" w:type="dxa"/>
              <w:bottom w:w="14" w:type="dxa"/>
              <w:end w:w="0" w:type="dxa"/>
            </w:tcMar>
          </w:tcPr>
          <w:p>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263"/>
        <w:gridCol w:w="5263"/>
      </w:tblGrid>
      <w:tr>
        <w:tc>
          <w:tcPr>
            <w:tcW w:type="dxa" w:w="5184"/>
            <w:shd w:fill="E9F1F6"/>
            <w:tcBorders>
              <w:top w:val="single" w:sz="6" w:color="E9F1F6"/>
              <w:left w:val="single" w:sz="6" w:color="E9F1F6"/>
              <w:bottom w:val="single" w:sz="6" w:color="E9F1F6"/>
              <w:right w:val="single" w:sz="6" w:color="E9F1F6"/>
            </w:tcBorders>
            <w:tcMar>
              <w:top w:w="100" w:type="dxa"/>
              <w:start w:w="105" w:type="dxa"/>
              <w:bottom w:w="100" w:type="dxa"/>
              <w:end w:w="105" w:type="dxa"/>
            </w:tcMar>
          </w:tcPr>
          <w:p>
            <w:pPr>
              <w:spacing w:after="40" w:before="0"/>
              <w:jc w:val="left"/>
            </w:pPr>
            <w:r/>
            <w:r>
              <w:rPr>
                <w:rFonts w:ascii="Arial" w:hAnsi="Arial" w:eastAsia="Arial"/>
                <w:b/>
                <w:i w:val="0"/>
                <w:color w:val="17324D"/>
                <w:sz w:val="20"/>
              </w:rPr>
              <w:t>DISPATCH</w:t>
            </w:r>
          </w:p>
          <w:p>
            <w:pPr>
              <w:spacing w:after="40" w:before="0"/>
              <w:jc w:val="left"/>
            </w:pPr>
            <w:r>
              <w:rPr>
                <w:rFonts w:ascii="Arial" w:hAnsi="Arial" w:eastAsia="Arial"/>
                <w:b w:val="0"/>
                <w:i w:val="0"/>
                <w:color w:val="1E2933"/>
                <w:sz w:val="17"/>
              </w:rPr>
              <w:t>Date goods are handed to the carrier.</w:t>
            </w:r>
          </w:p>
          <w:p>
            <w:pPr>
              <w:spacing w:after="40" w:before="0"/>
              <w:jc w:val="left"/>
            </w:pPr>
            <w:r>
              <w:rPr>
                <w:rFonts w:ascii="Arial" w:hAnsi="Arial" w:eastAsia="Arial"/>
                <w:b/>
                <w:i w:val="0"/>
                <w:color w:val="52616B"/>
                <w:sz w:val="16"/>
              </w:rPr>
              <w:t>Evidence: carrier collection or handover record.</w:t>
            </w:r>
          </w:p>
        </w:tc>
        <w:tc>
          <w:tcPr>
            <w:tcW w:type="dxa" w:w="5184"/>
            <w:shd w:fill="E7F4F2"/>
            <w:tcBorders>
              <w:top w:val="single" w:sz="6" w:color="E7F4F2"/>
              <w:left w:val="single" w:sz="6" w:color="E7F4F2"/>
              <w:bottom w:val="single" w:sz="6" w:color="E7F4F2"/>
              <w:right w:val="single" w:sz="6" w:color="E7F4F2"/>
            </w:tcBorders>
            <w:tcMar>
              <w:top w:w="100" w:type="dxa"/>
              <w:start w:w="105" w:type="dxa"/>
              <w:bottom w:w="100" w:type="dxa"/>
              <w:end w:w="105" w:type="dxa"/>
            </w:tcMar>
          </w:tcPr>
          <w:p>
            <w:pPr>
              <w:spacing w:after="40" w:before="0"/>
              <w:jc w:val="left"/>
            </w:pPr>
            <w:r/>
            <w:r>
              <w:rPr>
                <w:rFonts w:ascii="Arial" w:hAnsi="Arial" w:eastAsia="Arial"/>
                <w:b/>
                <w:i w:val="0"/>
                <w:color w:val="007C78"/>
                <w:sz w:val="20"/>
              </w:rPr>
              <w:t>RECEIPT</w:t>
            </w:r>
          </w:p>
          <w:p>
            <w:pPr>
              <w:spacing w:after="40" w:before="0"/>
              <w:jc w:val="left"/>
            </w:pPr>
            <w:r>
              <w:rPr>
                <w:rFonts w:ascii="Arial" w:hAnsi="Arial" w:eastAsia="Arial"/>
                <w:b w:val="0"/>
                <w:i w:val="0"/>
                <w:color w:val="1E2933"/>
                <w:sz w:val="17"/>
              </w:rPr>
              <w:t>Date the customer takes delivery.</w:t>
            </w:r>
          </w:p>
          <w:p>
            <w:pPr>
              <w:spacing w:after="40" w:before="0"/>
              <w:jc w:val="left"/>
            </w:pPr>
            <w:r>
              <w:rPr>
                <w:rFonts w:ascii="Arial" w:hAnsi="Arial" w:eastAsia="Arial"/>
                <w:b/>
                <w:i w:val="0"/>
                <w:color w:val="52616B"/>
                <w:sz w:val="16"/>
              </w:rPr>
              <w:t>Evidence: signed proof of delivery or carrier delivery event.</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263"/>
        <w:gridCol w:w="5263"/>
      </w:tblGrid>
      <w:tr>
        <w:tc>
          <w:tcPr>
            <w:tcW w:type="dxa" w:w="1800"/>
            <w:shd w:fill="B07B18"/>
            <w:tcBorders>
              <w:top w:val="single" w:sz="6" w:color="B07B18"/>
              <w:left w:val="single" w:sz="6" w:color="B07B18"/>
              <w:bottom w:val="single" w:sz="6" w:color="B07B18"/>
              <w:right w:val="single" w:sz="6" w:color="B07B18"/>
            </w:tcBorders>
            <w:tcMar>
              <w:top w:w="100" w:type="dxa"/>
              <w:start w:w="105" w:type="dxa"/>
              <w:bottom w:w="100" w:type="dxa"/>
              <w:end w:w="105" w:type="dxa"/>
            </w:tcMar>
          </w:tcPr>
          <w:p>
            <w:pPr>
              <w:spacing w:after="40" w:before="0"/>
              <w:jc w:val="center"/>
            </w:pPr>
            <w:r/>
            <w:r>
              <w:rPr>
                <w:rFonts w:ascii="Arial" w:hAnsi="Arial" w:eastAsia="Arial"/>
                <w:b/>
                <w:i w:val="0"/>
                <w:color w:val="FFFFFF"/>
                <w:sz w:val="16"/>
              </w:rPr>
              <w:t>UNCONFIRMED</w:t>
            </w:r>
          </w:p>
        </w:tc>
        <w:tc>
          <w:tcPr>
            <w:tcW w:type="dxa" w:w="8640"/>
            <w:shd w:fill="FBF3E3"/>
            <w:tcBorders>
              <w:top w:val="single" w:sz="6" w:color="FBF3E3"/>
              <w:left w:val="single" w:sz="6" w:color="FBF3E3"/>
              <w:bottom w:val="single" w:sz="6" w:color="FBF3E3"/>
              <w:right w:val="single" w:sz="6" w:color="FBF3E3"/>
            </w:tcBorders>
            <w:tcMar>
              <w:top w:w="100" w:type="dxa"/>
              <w:start w:w="105" w:type="dxa"/>
              <w:bottom w:w="100" w:type="dxa"/>
              <w:end w:w="105" w:type="dxa"/>
            </w:tcMar>
          </w:tcPr>
          <w:p>
            <w:pPr>
              <w:spacing w:after="40" w:before="0"/>
              <w:jc w:val="left"/>
            </w:pPr>
            <w:r/>
            <w:r>
              <w:rPr>
                <w:rFonts w:ascii="Arial" w:hAnsi="Arial" w:eastAsia="Arial"/>
                <w:b w:val="0"/>
                <w:i w:val="0"/>
                <w:color w:val="1E2933"/>
                <w:sz w:val="17"/>
              </w:rPr>
              <w:t>Signed wording is silent, conflicting, or ambiguous. Sales may not choose a dispatch-versus-receipt contractual meaning.</w:t>
            </w:r>
          </w:p>
        </w:tc>
      </w:tr>
    </w:tbl>
    <w:p>
      <w:pPr>
        <w:pStyle w:val="Heading2"/>
        <w:spacing w:before="100" w:after="40"/>
      </w:pPr>
      <w:r>
        <w:rPr>
          <w:rFonts w:ascii="Arial" w:hAnsi="Arial" w:eastAsia="Arial"/>
          <w:b/>
          <w:i w:val="0"/>
          <w:color w:val="007C78"/>
          <w:sz w:val="23"/>
        </w:rPr>
        <w:t>Why the distinction matters</w:t>
      </w:r>
    </w:p>
    <w:p>
      <w:pPr>
        <w:spacing w:after="40"/>
        <w:ind w:left="216" w:hanging="173"/>
      </w:pPr>
      <w:r>
        <w:rPr>
          <w:rFonts w:ascii="Arial" w:hAnsi="Arial" w:eastAsia="Arial"/>
          <w:b/>
          <w:i w:val="0"/>
          <w:color w:val="007C78"/>
          <w:sz w:val="17"/>
        </w:rPr>
        <w:t xml:space="preserve">- </w:t>
      </w:r>
      <w:r>
        <w:rPr>
          <w:rFonts w:ascii="Arial" w:hAnsi="Arial" w:eastAsia="Arial"/>
          <w:b w:val="0"/>
          <w:i w:val="0"/>
          <w:color w:val="1E2933"/>
          <w:sz w:val="17"/>
        </w:rPr>
        <w:t>DISPATCH happens at carrier handover; RECEIPT happens when the customer takes delivery. They are not interchangeable synonyms.</w:t>
      </w:r>
    </w:p>
    <w:p>
      <w:pPr>
        <w:spacing w:after="40"/>
        <w:ind w:left="216" w:hanging="173"/>
      </w:pPr>
      <w:r>
        <w:rPr>
          <w:rFonts w:ascii="Arial" w:hAnsi="Arial" w:eastAsia="Arial"/>
          <w:b/>
          <w:i w:val="0"/>
          <w:color w:val="007C78"/>
          <w:sz w:val="17"/>
        </w:rPr>
        <w:t xml:space="preserve">- </w:t>
      </w:r>
      <w:r>
        <w:rPr>
          <w:rFonts w:ascii="Arial" w:hAnsi="Arial" w:eastAsia="Arial"/>
          <w:b w:val="0"/>
          <w:i w:val="0"/>
          <w:color w:val="1E2933"/>
          <w:sz w:val="17"/>
        </w:rPr>
        <w:t>The chosen contractual event determines what sales records and what evidence supports a customer-facing statement.</w:t>
      </w:r>
    </w:p>
    <w:p>
      <w:pPr>
        <w:pStyle w:val="Heading2"/>
        <w:spacing w:before="100" w:after="40"/>
      </w:pPr>
      <w:r>
        <w:rPr>
          <w:rFonts w:ascii="Arial" w:hAnsi="Arial" w:eastAsia="Arial"/>
          <w:b/>
          <w:i w:val="0"/>
          <w:color w:val="007C78"/>
          <w:sz w:val="23"/>
        </w:rPr>
        <w:t>Reviewed template comparison</w:t>
      </w:r>
    </w:p>
    <w:tbl>
      <w:tblPr>
        <w:tblW w:type="auto" w:w="0"/>
        <w:jc w:val="center"/>
        <w:tblLayout w:type="fixed"/>
        <w:tblLook w:firstColumn="1" w:firstRow="1" w:lastColumn="0" w:lastRow="0" w:noHBand="0" w:noVBand="1" w:val="04A0"/>
      </w:tblPr>
      <w:tblGrid>
        <w:gridCol w:w="3509"/>
        <w:gridCol w:w="3509"/>
        <w:gridCol w:w="3509"/>
      </w:tblGrid>
      <w:tr>
        <w:trPr>
          <w:tblHeader w:val="true"/>
        </w:trPr>
        <w:tc>
          <w:tcPr>
            <w:tcW w:type="dxa" w:w="1584"/>
            <w:vAlign w:val="center"/>
            <w:tcMar>
              <w:top w:w="85" w:type="dxa"/>
              <w:start w:w="105" w:type="dxa"/>
              <w:bottom w:w="85" w:type="dxa"/>
              <w:end w:w="105" w:type="dxa"/>
            </w:tcMar>
            <w:shd w:fill="17324D"/>
            <w:tcBorders>
              <w:top w:val="single" w:sz="6" w:color="17324D"/>
              <w:left w:val="single" w:sz="6" w:color="17324D"/>
              <w:bottom w:val="single" w:sz="6" w:color="17324D"/>
              <w:right w:val="single" w:sz="6" w:color="17324D"/>
            </w:tcBorders>
          </w:tcPr>
          <w:p>
            <w:pPr>
              <w:spacing w:after="0" w:before="0"/>
            </w:pPr>
            <w:r/>
            <w:r>
              <w:rPr>
                <w:rFonts w:ascii="Arial" w:hAnsi="Arial" w:eastAsia="Arial"/>
                <w:b/>
                <w:i w:val="0"/>
                <w:color w:val="FFFFFF"/>
                <w:sz w:val="16"/>
              </w:rPr>
              <w:t>Jurisdiction</w:t>
            </w:r>
          </w:p>
        </w:tc>
        <w:tc>
          <w:tcPr>
            <w:tcW w:type="dxa" w:w="4392"/>
            <w:vAlign w:val="center"/>
            <w:tcMar>
              <w:top w:w="85" w:type="dxa"/>
              <w:start w:w="105" w:type="dxa"/>
              <w:bottom w:w="85" w:type="dxa"/>
              <w:end w:w="105" w:type="dxa"/>
            </w:tcMar>
            <w:shd w:fill="17324D"/>
            <w:tcBorders>
              <w:top w:val="single" w:sz="6" w:color="17324D"/>
              <w:left w:val="single" w:sz="6" w:color="17324D"/>
              <w:bottom w:val="single" w:sz="6" w:color="17324D"/>
              <w:right w:val="single" w:sz="6" w:color="17324D"/>
            </w:tcBorders>
          </w:tcPr>
          <w:p>
            <w:pPr>
              <w:spacing w:after="0" w:before="0"/>
            </w:pPr>
            <w:r/>
            <w:r>
              <w:rPr>
                <w:rFonts w:ascii="Arial" w:hAnsi="Arial" w:eastAsia="Arial"/>
                <w:b/>
                <w:i w:val="0"/>
                <w:color w:val="FFFFFF"/>
                <w:sz w:val="16"/>
              </w:rPr>
              <w:t>Current reviewed renewal template</w:t>
            </w:r>
          </w:p>
        </w:tc>
        <w:tc>
          <w:tcPr>
            <w:tcW w:type="dxa" w:w="4392"/>
            <w:vAlign w:val="center"/>
            <w:tcMar>
              <w:top w:w="85" w:type="dxa"/>
              <w:start w:w="105" w:type="dxa"/>
              <w:bottom w:w="85" w:type="dxa"/>
              <w:end w:w="105" w:type="dxa"/>
            </w:tcMar>
            <w:shd w:fill="17324D"/>
            <w:tcBorders>
              <w:top w:val="single" w:sz="6" w:color="17324D"/>
              <w:left w:val="single" w:sz="6" w:color="17324D"/>
              <w:bottom w:val="single" w:sz="6" w:color="17324D"/>
              <w:right w:val="single" w:sz="6" w:color="17324D"/>
            </w:tcBorders>
          </w:tcPr>
          <w:p>
            <w:pPr>
              <w:spacing w:after="0" w:before="0"/>
            </w:pPr>
            <w:r/>
            <w:r>
              <w:rPr>
                <w:rFonts w:ascii="Arial" w:hAnsi="Arial" w:eastAsia="Arial"/>
                <w:b/>
                <w:i w:val="0"/>
                <w:color w:val="FFFFFF"/>
                <w:sz w:val="16"/>
              </w:rPr>
              <w:t>Practical takeaway</w:t>
            </w:r>
          </w:p>
        </w:tc>
      </w:tr>
      <w:tr>
        <w:tc>
          <w:tcPr>
            <w:tcW w:type="dxa" w:w="1584"/>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t>England</w:t>
            </w:r>
          </w:p>
        </w:tc>
        <w:tc>
          <w:tcPr>
            <w:tcW w:type="dxa" w:w="4392"/>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t>Expressly uses customer receipt as the delivery event.</w:t>
            </w:r>
          </w:p>
        </w:tc>
        <w:tc>
          <w:tcPr>
            <w:tcW w:type="dxa" w:w="4392"/>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t>Use RECEIPT only where the signed agreement defines it.</w:t>
            </w:r>
          </w:p>
        </w:tc>
      </w:tr>
      <w:tr>
        <w:tc>
          <w:tcPr>
            <w:tcW w:type="dxa" w:w="1584"/>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t>Scotland</w:t>
            </w:r>
          </w:p>
        </w:tc>
        <w:tc>
          <w:tcPr>
            <w:tcW w:type="dxa" w:w="4392"/>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t>Expressly uses dispatch to the carrier as the delivery event.</w:t>
            </w:r>
          </w:p>
        </w:tc>
        <w:tc>
          <w:tcPr>
            <w:tcW w:type="dxa" w:w="4392"/>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t>Use DISPATCH only where the signed agreement defines it.</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263"/>
        <w:gridCol w:w="5263"/>
      </w:tblGrid>
      <w:tr>
        <w:tc>
          <w:tcPr>
            <w:tcW w:type="dxa" w:w="1800"/>
            <w:shd w:fill="B6503C"/>
            <w:tcBorders>
              <w:top w:val="single" w:sz="6" w:color="B6503C"/>
              <w:left w:val="single" w:sz="6" w:color="B6503C"/>
              <w:bottom w:val="single" w:sz="6" w:color="B6503C"/>
              <w:right w:val="single" w:sz="6" w:color="B6503C"/>
            </w:tcBorders>
            <w:tcMar>
              <w:top w:w="100" w:type="dxa"/>
              <w:start w:w="105" w:type="dxa"/>
              <w:bottom w:w="100" w:type="dxa"/>
              <w:end w:w="105" w:type="dxa"/>
            </w:tcMar>
          </w:tcPr>
          <w:p>
            <w:pPr>
              <w:spacing w:after="40" w:before="0"/>
              <w:jc w:val="center"/>
            </w:pPr>
            <w:r/>
            <w:r>
              <w:rPr>
                <w:rFonts w:ascii="Arial" w:hAnsi="Arial" w:eastAsia="Arial"/>
                <w:b/>
                <w:i w:val="0"/>
                <w:color w:val="FFFFFF"/>
                <w:sz w:val="16"/>
              </w:rPr>
              <w:t>CONTROL</w:t>
            </w:r>
          </w:p>
        </w:tc>
        <w:tc>
          <w:tcPr>
            <w:tcW w:type="dxa" w:w="8640"/>
            <w:shd w:fill="F8ECE8"/>
            <w:tcBorders>
              <w:top w:val="single" w:sz="6" w:color="F8ECE8"/>
              <w:left w:val="single" w:sz="6" w:color="F8ECE8"/>
              <w:bottom w:val="single" w:sz="6" w:color="F8ECE8"/>
              <w:right w:val="single" w:sz="6" w:color="F8ECE8"/>
            </w:tcBorders>
            <w:tcMar>
              <w:top w:w="100" w:type="dxa"/>
              <w:start w:w="105" w:type="dxa"/>
              <w:bottom w:w="100" w:type="dxa"/>
              <w:end w:w="105" w:type="dxa"/>
            </w:tcMar>
          </w:tcPr>
          <w:p>
            <w:pPr>
              <w:spacing w:after="40" w:before="0"/>
              <w:jc w:val="left"/>
            </w:pPr>
            <w:r/>
            <w:r>
              <w:rPr>
                <w:rFonts w:ascii="Arial" w:hAnsi="Arial" w:eastAsia="Arial"/>
                <w:b w:val="0"/>
                <w:i w:val="0"/>
                <w:color w:val="1E2933"/>
                <w:sz w:val="17"/>
              </w:rPr>
              <w:t>The jurisdiction identifies the reviewed template context; it does not select the event for an agreement. Signed wording controls.</w:t>
            </w:r>
          </w:p>
        </w:tc>
      </w:tr>
    </w:tbl>
    <w:p>
      <w:r>
        <w:br w:type="page"/>
      </w:r>
    </w:p>
    <w:p>
      <w:pPr>
        <w:spacing w:after="20"/>
      </w:pPr>
      <w:r>
        <w:rPr>
          <w:rFonts w:ascii="Arial" w:hAnsi="Arial" w:eastAsia="Arial"/>
          <w:b/>
          <w:i w:val="0"/>
          <w:color w:val="007C78"/>
          <w:sz w:val="16"/>
        </w:rPr>
        <w:t>LEARNER MATERIAL | 2 OF 4</w:t>
      </w:r>
    </w:p>
    <w:p>
      <w:pPr>
        <w:pStyle w:val="Heading1"/>
        <w:spacing w:before="0" w:after="40"/>
      </w:pPr>
      <w:r>
        <w:rPr>
          <w:rFonts w:ascii="Arial" w:hAnsi="Arial" w:eastAsia="Arial"/>
          <w:b/>
          <w:i w:val="0"/>
          <w:color w:val="17324D"/>
          <w:sz w:val="34"/>
        </w:rPr>
        <w:t>2 | Follow this controlled response</w:t>
      </w:r>
    </w:p>
    <w:p>
      <w:pPr>
        <w:spacing w:after="100"/>
      </w:pPr>
      <w:r>
        <w:rPr>
          <w:rFonts w:ascii="Arial" w:hAnsi="Arial" w:eastAsia="Arial"/>
          <w:b w:val="0"/>
          <w:i w:val="0"/>
          <w:color w:val="52616B"/>
          <w:sz w:val="19"/>
        </w:rPr>
        <w:t>Use the signed clause first. Keep operational action separate from legal interpretation.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527"/>
      </w:tblGrid>
      <w:tr>
        <w:tc>
          <w:tcPr>
            <w:tcW w:type="dxa" w:w="10440"/>
            <w:shd w:fill="007C78"/>
            <w:tcMar>
              <w:top w:w="14" w:type="dxa"/>
              <w:start w:w="0" w:type="dxa"/>
              <w:bottom w:w="14" w:type="dxa"/>
              <w:end w:w="0" w:type="dxa"/>
            </w:tcMar>
          </w:tcPr>
          <w:p>
            <w:r/>
          </w:p>
        </w:tc>
      </w:tr>
    </w:tbl>
    <w:tbl>
      <w:tblPr>
        <w:tblW w:type="auto" w:w="0"/>
        <w:jc w:val="center"/>
        <w:tblLayout w:type="fixed"/>
        <w:tblLook w:firstColumn="1" w:firstRow="1" w:lastColumn="0" w:lastRow="0" w:noHBand="0" w:noVBand="1" w:val="04A0"/>
      </w:tblPr>
      <w:tblGrid>
        <w:gridCol w:w="3509"/>
        <w:gridCol w:w="3509"/>
        <w:gridCol w:w="3509"/>
      </w:tblGrid>
      <w:tr>
        <w:trPr>
          <w:tblHeader w:val="true"/>
        </w:trPr>
        <w:tc>
          <w:tcPr>
            <w:tcW w:type="dxa" w:w="792"/>
            <w:vAlign w:val="center"/>
            <w:tcMar>
              <w:top w:w="85" w:type="dxa"/>
              <w:start w:w="105" w:type="dxa"/>
              <w:bottom w:w="85" w:type="dxa"/>
              <w:end w:w="105" w:type="dxa"/>
            </w:tcMar>
            <w:shd w:fill="17324D"/>
            <w:tcBorders>
              <w:top w:val="single" w:sz="6" w:color="17324D"/>
              <w:left w:val="single" w:sz="6" w:color="17324D"/>
              <w:bottom w:val="single" w:sz="6" w:color="17324D"/>
              <w:right w:val="single" w:sz="6" w:color="17324D"/>
            </w:tcBorders>
          </w:tcPr>
          <w:p>
            <w:pPr>
              <w:spacing w:after="0" w:before="0"/>
            </w:pPr>
            <w:r/>
            <w:r>
              <w:rPr>
                <w:rFonts w:ascii="Arial" w:hAnsi="Arial" w:eastAsia="Arial"/>
                <w:b/>
                <w:i w:val="0"/>
                <w:color w:val="FFFFFF"/>
                <w:sz w:val="16"/>
              </w:rPr>
              <w:t>Step</w:t>
            </w:r>
          </w:p>
        </w:tc>
        <w:tc>
          <w:tcPr>
            <w:tcW w:type="dxa" w:w="4824"/>
            <w:vAlign w:val="center"/>
            <w:tcMar>
              <w:top w:w="85" w:type="dxa"/>
              <w:start w:w="105" w:type="dxa"/>
              <w:bottom w:w="85" w:type="dxa"/>
              <w:end w:w="105" w:type="dxa"/>
            </w:tcMar>
            <w:shd w:fill="17324D"/>
            <w:tcBorders>
              <w:top w:val="single" w:sz="6" w:color="17324D"/>
              <w:left w:val="single" w:sz="6" w:color="17324D"/>
              <w:bottom w:val="single" w:sz="6" w:color="17324D"/>
              <w:right w:val="single" w:sz="6" w:color="17324D"/>
            </w:tcBorders>
          </w:tcPr>
          <w:p>
            <w:pPr>
              <w:spacing w:after="0" w:before="0"/>
            </w:pPr>
            <w:r/>
            <w:r>
              <w:rPr>
                <w:rFonts w:ascii="Arial" w:hAnsi="Arial" w:eastAsia="Arial"/>
                <w:b/>
                <w:i w:val="0"/>
                <w:color w:val="FFFFFF"/>
                <w:sz w:val="16"/>
              </w:rPr>
              <w:t>Sales action</w:t>
            </w:r>
          </w:p>
        </w:tc>
        <w:tc>
          <w:tcPr>
            <w:tcW w:type="dxa" w:w="4752"/>
            <w:vAlign w:val="center"/>
            <w:tcMar>
              <w:top w:w="85" w:type="dxa"/>
              <w:start w:w="105" w:type="dxa"/>
              <w:bottom w:w="85" w:type="dxa"/>
              <w:end w:w="105" w:type="dxa"/>
            </w:tcMar>
            <w:shd w:fill="17324D"/>
            <w:tcBorders>
              <w:top w:val="single" w:sz="6" w:color="17324D"/>
              <w:left w:val="single" w:sz="6" w:color="17324D"/>
              <w:bottom w:val="single" w:sz="6" w:color="17324D"/>
              <w:right w:val="single" w:sz="6" w:color="17324D"/>
            </w:tcBorders>
          </w:tcPr>
          <w:p>
            <w:pPr>
              <w:spacing w:after="0" w:before="0"/>
            </w:pPr>
            <w:r/>
            <w:r>
              <w:rPr>
                <w:rFonts w:ascii="Arial" w:hAnsi="Arial" w:eastAsia="Arial"/>
                <w:b/>
                <w:i w:val="0"/>
                <w:color w:val="FFFFFF"/>
                <w:sz w:val="16"/>
              </w:rPr>
              <w:t>Record / communicate</w:t>
            </w:r>
          </w:p>
        </w:tc>
      </w:tr>
      <w:tr>
        <w:tc>
          <w:tcPr>
            <w:tcW w:type="dxa" w:w="792"/>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t>1</w:t>
            </w:r>
          </w:p>
        </w:tc>
        <w:tc>
          <w:tcPr>
            <w:tcW w:type="dxa" w:w="4824"/>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t>Check the signed contract wording.</w:t>
            </w:r>
          </w:p>
        </w:tc>
        <w:tc>
          <w:tcPr>
            <w:tcW w:type="dxa" w:w="4752"/>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t>Do not infer the delivery event from a label or prior practice.</w:t>
            </w:r>
          </w:p>
        </w:tc>
      </w:tr>
      <w:tr>
        <w:tc>
          <w:tcPr>
            <w:tcW w:type="dxa" w:w="792"/>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t>2</w:t>
            </w:r>
          </w:p>
        </w:tc>
        <w:tc>
          <w:tcPr>
            <w:tcW w:type="dxa" w:w="4824"/>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t>Identify the applicable jurisdiction or reviewed template context.</w:t>
            </w:r>
          </w:p>
        </w:tc>
        <w:tc>
          <w:tcPr>
            <w:tcW w:type="dxa" w:w="4752"/>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t>Use this as a control check, not as a jurisdictional default.</w:t>
            </w:r>
          </w:p>
        </w:tc>
      </w:tr>
      <w:tr>
        <w:tc>
          <w:tcPr>
            <w:tcW w:type="dxa" w:w="792"/>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t>3</w:t>
            </w:r>
          </w:p>
        </w:tc>
        <w:tc>
          <w:tcPr>
            <w:tcW w:type="dxa" w:w="4824"/>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t>If explicit: map the clause to its evidence.</w:t>
            </w:r>
          </w:p>
        </w:tc>
        <w:tc>
          <w:tcPr>
            <w:tcW w:type="dxa" w:w="4752"/>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t>DISPATCH -&gt; carrier handover record. RECEIPT -&gt; proof of delivery or carrier delivery event.</w:t>
            </w:r>
          </w:p>
        </w:tc>
      </w:tr>
      <w:tr>
        <w:tc>
          <w:tcPr>
            <w:tcW w:type="dxa" w:w="792"/>
            <w:vAlign w:val="center"/>
            <w:tcMar>
              <w:top w:w="85" w:type="dxa"/>
              <w:start w:w="105" w:type="dxa"/>
              <w:bottom w:w="85" w:type="dxa"/>
              <w:end w:w="105" w:type="dxa"/>
            </w:tcMar>
            <w:shd w:fill="FBF3E3"/>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t>4</w:t>
            </w:r>
          </w:p>
        </w:tc>
        <w:tc>
          <w:tcPr>
            <w:tcW w:type="dxa" w:w="4824"/>
            <w:vAlign w:val="center"/>
            <w:tcMar>
              <w:top w:w="85" w:type="dxa"/>
              <w:start w:w="105" w:type="dxa"/>
              <w:bottom w:w="85" w:type="dxa"/>
              <w:end w:w="105" w:type="dxa"/>
            </w:tcMar>
            <w:shd w:fill="FBF3E3"/>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t>If silent, conflicting, or ambiguous: classify UNCONFIRMED.</w:t>
            </w:r>
          </w:p>
        </w:tc>
        <w:tc>
          <w:tcPr>
            <w:tcW w:type="dxa" w:w="4752"/>
            <w:vAlign w:val="center"/>
            <w:tcMar>
              <w:top w:w="85" w:type="dxa"/>
              <w:start w:w="105" w:type="dxa"/>
              <w:bottom w:w="85" w:type="dxa"/>
              <w:end w:w="105" w:type="dxa"/>
            </w:tcMar>
            <w:shd w:fill="FBF3E3"/>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t>Do not select dispatch or receipt; route for legal review.</w:t>
            </w:r>
          </w:p>
        </w:tc>
      </w:tr>
    </w:tbl>
    <w:p>
      <w:pPr>
        <w:pStyle w:val="Heading2"/>
        <w:spacing w:before="100" w:after="40"/>
      </w:pPr>
      <w:r>
        <w:rPr>
          <w:rFonts w:ascii="Arial" w:hAnsi="Arial" w:eastAsia="Arial"/>
          <w:b/>
          <w:i w:val="0"/>
          <w:color w:val="007C78"/>
          <w:sz w:val="23"/>
        </w:rPr>
        <w:t>Useable boundary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263"/>
        <w:gridCol w:w="5263"/>
      </w:tblGrid>
      <w:tr>
        <w:tc>
          <w:tcPr>
            <w:tcW w:type="dxa" w:w="5184"/>
            <w:shd w:fill="E7F4F2"/>
            <w:tcBorders>
              <w:top w:val="single" w:sz="6" w:color="E7F4F2"/>
              <w:left w:val="single" w:sz="6" w:color="E7F4F2"/>
              <w:bottom w:val="single" w:sz="6" w:color="E7F4F2"/>
              <w:right w:val="single" w:sz="6" w:color="E7F4F2"/>
            </w:tcBorders>
            <w:tcMar>
              <w:top w:w="100" w:type="dxa"/>
              <w:start w:w="105" w:type="dxa"/>
              <w:bottom w:w="100" w:type="dxa"/>
              <w:end w:w="105" w:type="dxa"/>
            </w:tcMar>
          </w:tcPr>
          <w:p>
            <w:pPr>
              <w:spacing w:after="40" w:before="0"/>
              <w:jc w:val="left"/>
            </w:pPr>
            <w:r/>
            <w:r>
              <w:rPr>
                <w:rFonts w:ascii="Arial" w:hAnsi="Arial" w:eastAsia="Arial"/>
                <w:b/>
                <w:i w:val="0"/>
                <w:color w:val="007C78"/>
                <w:sz w:val="18"/>
              </w:rPr>
              <w:t>SALES DOES</w:t>
            </w:r>
          </w:p>
          <w:p>
            <w:pPr>
              <w:spacing w:after="40" w:before="0"/>
              <w:jc w:val="left"/>
            </w:pPr>
            <w:r>
              <w:rPr>
                <w:rFonts w:ascii="Arial" w:hAnsi="Arial" w:eastAsia="Arial"/>
                <w:b w:val="0"/>
                <w:i w:val="0"/>
                <w:color w:val="1E2933"/>
                <w:sz w:val="16"/>
              </w:rPr>
              <w:t>Checks signed wording and jurisdiction/template; records the correct local classification and evidence; communicates an explicit contract-defined event.</w:t>
            </w:r>
          </w:p>
        </w:tc>
        <w:tc>
          <w:tcPr>
            <w:tcW w:type="dxa" w:w="5184"/>
            <w:shd w:fill="F8ECE8"/>
            <w:tcBorders>
              <w:top w:val="single" w:sz="6" w:color="F8ECE8"/>
              <w:left w:val="single" w:sz="6" w:color="F8ECE8"/>
              <w:bottom w:val="single" w:sz="6" w:color="F8ECE8"/>
              <w:right w:val="single" w:sz="6" w:color="F8ECE8"/>
            </w:tcBorders>
            <w:tcMar>
              <w:top w:w="100" w:type="dxa"/>
              <w:start w:w="105" w:type="dxa"/>
              <w:bottom w:w="100" w:type="dxa"/>
              <w:end w:w="105" w:type="dxa"/>
            </w:tcMar>
          </w:tcPr>
          <w:p>
            <w:pPr>
              <w:spacing w:after="40" w:before="0"/>
              <w:jc w:val="left"/>
            </w:pPr>
            <w:r/>
            <w:r>
              <w:rPr>
                <w:rFonts w:ascii="Arial" w:hAnsi="Arial" w:eastAsia="Arial"/>
                <w:b/>
                <w:i w:val="0"/>
                <w:color w:val="B6503C"/>
                <w:sz w:val="18"/>
              </w:rPr>
              <w:t>LEGAL CONFIRMS</w:t>
            </w:r>
          </w:p>
          <w:p>
            <w:pPr>
              <w:spacing w:after="40" w:before="0"/>
              <w:jc w:val="left"/>
            </w:pPr>
            <w:r>
              <w:rPr>
                <w:rFonts w:ascii="Arial" w:hAnsi="Arial" w:eastAsia="Arial"/>
                <w:b w:val="0"/>
                <w:i w:val="0"/>
                <w:color w:val="1E2933"/>
                <w:sz w:val="16"/>
              </w:rPr>
              <w:t>Missing or ambiguous wording, conflicting contract evidence, and requests to make a legal interpretation of unclear wording.</w:t>
            </w:r>
          </w:p>
        </w:tc>
      </w:tr>
    </w:tbl>
    <w:p>
      <w:pPr>
        <w:pStyle w:val="Heading2"/>
        <w:spacing w:before="100" w:after="40"/>
      </w:pPr>
      <w:r>
        <w:rPr>
          <w:rFonts w:ascii="Arial" w:hAnsi="Arial" w:eastAsia="Arial"/>
          <w:b/>
          <w:i w:val="0"/>
          <w:color w:val="007C78"/>
          <w:sz w:val="23"/>
        </w:rPr>
        <w:t>When a customer needs an answer quickly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263"/>
        <w:gridCol w:w="5263"/>
      </w:tblGrid>
      <w:tr>
        <w:tc>
          <w:tcPr>
            <w:tcW w:type="dxa" w:w="1800"/>
            <w:shd w:fill="17324D"/>
            <w:tcBorders>
              <w:top w:val="single" w:sz="6" w:color="17324D"/>
              <w:left w:val="single" w:sz="6" w:color="17324D"/>
              <w:bottom w:val="single" w:sz="6" w:color="17324D"/>
              <w:right w:val="single" w:sz="6" w:color="17324D"/>
            </w:tcBorders>
            <w:tcMar>
              <w:top w:w="100" w:type="dxa"/>
              <w:start w:w="105" w:type="dxa"/>
              <w:bottom w:w="100" w:type="dxa"/>
              <w:end w:w="105" w:type="dxa"/>
            </w:tcMar>
          </w:tcPr>
          <w:p>
            <w:pPr>
              <w:spacing w:after="40" w:before="0"/>
              <w:jc w:val="center"/>
            </w:pPr>
            <w:r/>
            <w:r>
              <w:rPr>
                <w:rFonts w:ascii="Arial" w:hAnsi="Arial" w:eastAsia="Arial"/>
                <w:b/>
                <w:i w:val="0"/>
                <w:color w:val="FFFFFF"/>
                <w:sz w:val="16"/>
              </w:rPr>
              <w:t>ACKNOWLEDGE</w:t>
            </w:r>
          </w:p>
        </w:tc>
        <w:tc>
          <w:tcPr>
            <w:tcW w:type="dxa" w:w="8640"/>
            <w:shd w:fill="E9F1F6"/>
            <w:tcBorders>
              <w:top w:val="single" w:sz="6" w:color="E9F1F6"/>
              <w:left w:val="single" w:sz="6" w:color="E9F1F6"/>
              <w:bottom w:val="single" w:sz="6" w:color="E9F1F6"/>
              <w:right w:val="single" w:sz="6" w:color="E9F1F6"/>
            </w:tcBorders>
            <w:tcMar>
              <w:top w:w="100" w:type="dxa"/>
              <w:start w:w="105" w:type="dxa"/>
              <w:bottom w:w="100" w:type="dxa"/>
              <w:end w:w="105" w:type="dxa"/>
            </w:tcMar>
          </w:tcPr>
          <w:p>
            <w:pPr>
              <w:spacing w:after="40" w:before="0"/>
              <w:jc w:val="left"/>
            </w:pPr>
            <w:r/>
            <w:r>
              <w:rPr>
                <w:rFonts w:ascii="Arial" w:hAnsi="Arial" w:eastAsia="Arial"/>
                <w:b w:val="0"/>
                <w:i w:val="0"/>
                <w:color w:val="1E2933"/>
                <w:sz w:val="17"/>
              </w:rPr>
              <w:t>"Thank you for your query. We are checking the contract-defined delivery-date basis and will update you." Do not make a date commitment for an UNCONFIRMED clause.</w:t>
            </w:r>
          </w:p>
        </w:tc>
      </w:tr>
    </w:tbl>
    <w:p>
      <w:pPr>
        <w:spacing w:after="0" w:line="247" w:lineRule="auto"/>
      </w:pPr>
      <w:r>
        <w:rPr>
          <w:rFonts w:ascii="Arial" w:hAnsi="Arial" w:eastAsia="Arial"/>
          <w:b/>
          <w:i w:val="0"/>
          <w:color w:val="1E2933"/>
          <w:sz w:val="17"/>
        </w:rPr>
        <w:t>Escalate</w:t>
      </w:r>
      <w:r>
        <w:rPr>
          <w:rFonts w:ascii="Arial" w:hAnsi="Arial" w:eastAsia="Arial"/>
          <w:b w:val="0"/>
          <w:i w:val="0"/>
          <w:color w:val="1E2933"/>
          <w:sz w:val="17"/>
        </w:rPr>
        <w:t xml:space="preserve"> to Sigrid Almeida by 16:00 the same day for missing or ambiguous signed wording, conflicting contract evidence, or a request for legal interpretation.</w:t>
      </w:r>
    </w:p>
    <w:p>
      <w:r>
        <w:br w:type="page"/>
      </w:r>
    </w:p>
    <w:p>
      <w:pPr>
        <w:spacing w:after="20"/>
      </w:pPr>
      <w:r>
        <w:rPr>
          <w:rFonts w:ascii="Arial" w:hAnsi="Arial" w:eastAsia="Arial"/>
          <w:b/>
          <w:i w:val="0"/>
          <w:color w:val="007C78"/>
          <w:sz w:val="16"/>
        </w:rPr>
        <w:t>LEARNER MATERIAL | 3 OF 4</w:t>
      </w:r>
    </w:p>
    <w:p>
      <w:pPr>
        <w:pStyle w:val="Heading1"/>
        <w:spacing w:before="0" w:after="40"/>
      </w:pPr>
      <w:r>
        <w:rPr>
          <w:rFonts w:ascii="Arial" w:hAnsi="Arial" w:eastAsia="Arial"/>
          <w:b/>
          <w:i w:val="0"/>
          <w:color w:val="17324D"/>
          <w:sz w:val="34"/>
        </w:rPr>
        <w:t>3 | Manage the change with the contract</w:t>
      </w:r>
    </w:p>
    <w:p>
      <w:pPr>
        <w:spacing w:after="100"/>
      </w:pPr>
      <w:r>
        <w:rPr>
          <w:rFonts w:ascii="Arial" w:hAnsi="Arial" w:eastAsia="Arial"/>
          <w:b w:val="0"/>
          <w:i w:val="0"/>
          <w:color w:val="52616B"/>
          <w:sz w:val="19"/>
        </w:rPr>
        <w:t>The transition preserves signed legacy definitions; the end state makes the reviewed contract-defined approach explicit.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527"/>
      </w:tblGrid>
      <w:tr>
        <w:tc>
          <w:tcPr>
            <w:tcW w:type="dxa" w:w="10440"/>
            <w:shd w:fill="007C78"/>
            <w:tcMar>
              <w:top w:w="14" w:type="dxa"/>
              <w:start w:w="0" w:type="dxa"/>
              <w:bottom w:w="14" w:type="dxa"/>
              <w:end w:w="0" w:type="dxa"/>
            </w:tcMar>
          </w:tcPr>
          <w:p>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263"/>
        <w:gridCol w:w="5263"/>
      </w:tblGrid>
      <w:tr>
        <w:tc>
          <w:tcPr>
            <w:tcW w:type="dxa" w:w="3024"/>
            <w:shd w:fill="FBF3E3"/>
            <w:tcBorders>
              <w:top w:val="single" w:sz="6" w:color="FBF3E3"/>
              <w:left w:val="single" w:sz="6" w:color="FBF3E3"/>
              <w:bottom w:val="single" w:sz="6" w:color="FBF3E3"/>
              <w:right w:val="single" w:sz="6" w:color="FBF3E3"/>
            </w:tcBorders>
            <w:tcMar>
              <w:top w:w="100" w:type="dxa"/>
              <w:start w:w="105" w:type="dxa"/>
              <w:bottom w:w="100" w:type="dxa"/>
              <w:end w:w="105" w:type="dxa"/>
            </w:tcMar>
          </w:tcPr>
          <w:p>
            <w:pPr>
              <w:spacing w:after="40" w:before="0"/>
              <w:jc w:val="left"/>
            </w:pPr>
            <w:r/>
            <w:r>
              <w:rPr>
                <w:rFonts w:ascii="Arial" w:hAnsi="Arial" w:eastAsia="Arial"/>
                <w:b/>
                <w:i w:val="0"/>
                <w:color w:val="B07B18"/>
                <w:sz w:val="18"/>
              </w:rPr>
              <w:t>THROUGH 30 JUNE 2026</w:t>
            </w:r>
          </w:p>
          <w:p>
            <w:pPr>
              <w:spacing w:after="40" w:before="0"/>
              <w:jc w:val="left"/>
            </w:pPr>
            <w:r>
              <w:rPr>
                <w:rFonts w:ascii="Arial" w:hAnsi="Arial" w:eastAsia="Arial"/>
                <w:b/>
                <w:i w:val="0"/>
                <w:color w:val="1E2933"/>
                <w:sz w:val="17"/>
              </w:rPr>
              <w:t>Transition period</w:t>
            </w:r>
          </w:p>
          <w:p>
            <w:pPr>
              <w:spacing w:after="40" w:before="0"/>
              <w:jc w:val="left"/>
            </w:pPr>
            <w:r>
              <w:rPr>
                <w:rFonts w:ascii="Arial" w:hAnsi="Arial" w:eastAsia="Arial"/>
                <w:b w:val="0"/>
                <w:i w:val="0"/>
                <w:color w:val="1E2933"/>
                <w:sz w:val="16"/>
              </w:rPr>
              <w:t>Legacy agreements remain governed by their signed delivery definition.</w:t>
            </w:r>
          </w:p>
        </w:tc>
        <w:tc>
          <w:tcPr>
            <w:tcW w:type="dxa" w:w="7343"/>
            <w:shd w:fill="EAF4EC"/>
            <w:tcBorders>
              <w:top w:val="single" w:sz="6" w:color="EAF4EC"/>
              <w:left w:val="single" w:sz="6" w:color="EAF4EC"/>
              <w:bottom w:val="single" w:sz="6" w:color="EAF4EC"/>
              <w:right w:val="single" w:sz="6" w:color="EAF4EC"/>
            </w:tcBorders>
            <w:tcMar>
              <w:top w:w="100" w:type="dxa"/>
              <w:start w:w="105" w:type="dxa"/>
              <w:bottom w:w="100" w:type="dxa"/>
              <w:end w:w="105" w:type="dxa"/>
            </w:tcMar>
          </w:tcPr>
          <w:p>
            <w:pPr>
              <w:spacing w:after="40" w:before="0"/>
              <w:jc w:val="left"/>
            </w:pPr>
            <w:r/>
            <w:r>
              <w:rPr>
                <w:rFonts w:ascii="Arial" w:hAnsi="Arial" w:eastAsia="Arial"/>
                <w:b/>
                <w:i w:val="0"/>
                <w:color w:val="2D6A4F"/>
                <w:sz w:val="18"/>
              </w:rPr>
              <w:t>FROM 1 JULY 2026</w:t>
            </w:r>
          </w:p>
          <w:p>
            <w:pPr>
              <w:spacing w:after="40" w:before="0"/>
              <w:jc w:val="left"/>
            </w:pPr>
            <w:r>
              <w:rPr>
                <w:rFonts w:ascii="Arial" w:hAnsi="Arial" w:eastAsia="Arial"/>
                <w:b/>
                <w:i w:val="0"/>
                <w:color w:val="1E2933"/>
                <w:sz w:val="17"/>
              </w:rPr>
              <w:t>End state</w:t>
            </w:r>
          </w:p>
          <w:p>
            <w:pPr>
              <w:spacing w:after="40" w:before="0"/>
              <w:jc w:val="left"/>
            </w:pPr>
            <w:r>
              <w:rPr>
                <w:rFonts w:ascii="Arial" w:hAnsi="Arial" w:eastAsia="Arial"/>
                <w:b w:val="0"/>
                <w:i w:val="0"/>
                <w:color w:val="1E2933"/>
                <w:sz w:val="16"/>
              </w:rPr>
              <w:t>New or renewed agreements use the contract-defined delivery event, with reviewed template wording explicit. A silent or ambiguous clause remains UNCONFIRMED until legal review.</w:t>
            </w:r>
          </w:p>
        </w:tc>
      </w:tr>
    </w:tbl>
    <w:p>
      <w:pPr>
        <w:pStyle w:val="Heading2"/>
        <w:spacing w:before="100" w:after="40"/>
      </w:pPr>
      <w:r>
        <w:rPr>
          <w:rFonts w:ascii="Arial" w:hAnsi="Arial" w:eastAsia="Arial"/>
          <w:b/>
          <w:i w:val="0"/>
          <w:color w:val="007C78"/>
          <w:sz w:val="23"/>
        </w:rPr>
        <w:t>Comparable monthly classification audit</w:t>
      </w:r>
    </w:p>
    <w:tbl>
      <w:tblPr>
        <w:tblW w:type="auto" w:w="0"/>
        <w:jc w:val="center"/>
        <w:tblLayout w:type="fixed"/>
        <w:tblLook w:firstColumn="1" w:firstRow="1" w:lastColumn="0" w:lastRow="0" w:noHBand="0" w:noVBand="1" w:val="04A0"/>
      </w:tblPr>
      <w:tblGrid>
        <w:gridCol w:w="1754"/>
        <w:gridCol w:w="1754"/>
        <w:gridCol w:w="1754"/>
        <w:gridCol w:w="1754"/>
        <w:gridCol w:w="1754"/>
        <w:gridCol w:w="1754"/>
      </w:tblGrid>
      <w:tr>
        <w:trPr>
          <w:tblHeader w:val="true"/>
        </w:trPr>
        <w:tc>
          <w:tcPr>
            <w:tcW w:type="dxa" w:w="1036"/>
            <w:vAlign w:val="center"/>
            <w:tcMar>
              <w:top w:w="85" w:type="dxa"/>
              <w:start w:w="105" w:type="dxa"/>
              <w:bottom w:w="85" w:type="dxa"/>
              <w:end w:w="105" w:type="dxa"/>
            </w:tcMar>
            <w:shd w:fill="17324D"/>
            <w:tcBorders>
              <w:top w:val="single" w:sz="6" w:color="17324D"/>
              <w:left w:val="single" w:sz="6" w:color="17324D"/>
              <w:bottom w:val="single" w:sz="6" w:color="17324D"/>
              <w:right w:val="single" w:sz="6" w:color="17324D"/>
            </w:tcBorders>
          </w:tcPr>
          <w:p>
            <w:pPr>
              <w:spacing w:after="0" w:before="0"/>
            </w:pPr>
            <w:r/>
            <w:r>
              <w:rPr>
                <w:rFonts w:ascii="Arial" w:hAnsi="Arial" w:eastAsia="Arial"/>
                <w:b/>
                <w:i w:val="0"/>
                <w:color w:val="FFFFFF"/>
                <w:sz w:val="15"/>
              </w:rPr>
              <w:t>Period</w:t>
            </w:r>
          </w:p>
        </w:tc>
        <w:tc>
          <w:tcPr>
            <w:tcW w:type="dxa" w:w="1483"/>
            <w:vAlign w:val="center"/>
            <w:tcMar>
              <w:top w:w="85" w:type="dxa"/>
              <w:start w:w="105" w:type="dxa"/>
              <w:bottom w:w="85" w:type="dxa"/>
              <w:end w:w="105" w:type="dxa"/>
            </w:tcMar>
            <w:shd w:fill="17324D"/>
            <w:tcBorders>
              <w:top w:val="single" w:sz="6" w:color="17324D"/>
              <w:left w:val="single" w:sz="6" w:color="17324D"/>
              <w:bottom w:val="single" w:sz="6" w:color="17324D"/>
              <w:right w:val="single" w:sz="6" w:color="17324D"/>
            </w:tcBorders>
          </w:tcPr>
          <w:p>
            <w:pPr>
              <w:spacing w:after="0" w:before="0"/>
            </w:pPr>
            <w:r/>
            <w:r>
              <w:rPr>
                <w:rFonts w:ascii="Arial" w:hAnsi="Arial" w:eastAsia="Arial"/>
                <w:b/>
                <w:i w:val="0"/>
                <w:color w:val="FFFFFF"/>
                <w:sz w:val="15"/>
              </w:rPr>
              <w:t>Jurisdiction</w:t>
            </w:r>
          </w:p>
        </w:tc>
        <w:tc>
          <w:tcPr>
            <w:tcW w:type="dxa" w:w="936"/>
            <w:vAlign w:val="center"/>
            <w:tcMar>
              <w:top w:w="85" w:type="dxa"/>
              <w:start w:w="105" w:type="dxa"/>
              <w:bottom w:w="85" w:type="dxa"/>
              <w:end w:w="105" w:type="dxa"/>
            </w:tcMar>
            <w:shd w:fill="17324D"/>
            <w:tcBorders>
              <w:top w:val="single" w:sz="6" w:color="17324D"/>
              <w:left w:val="single" w:sz="6" w:color="17324D"/>
              <w:bottom w:val="single" w:sz="6" w:color="17324D"/>
              <w:right w:val="single" w:sz="6" w:color="17324D"/>
            </w:tcBorders>
          </w:tcPr>
          <w:p>
            <w:pPr>
              <w:spacing w:after="0" w:before="0"/>
            </w:pPr>
            <w:r/>
            <w:r>
              <w:rPr>
                <w:rFonts w:ascii="Arial" w:hAnsi="Arial" w:eastAsia="Arial"/>
                <w:b/>
                <w:i w:val="0"/>
                <w:color w:val="FFFFFF"/>
                <w:sz w:val="15"/>
              </w:rPr>
              <w:t>Receipt</w:t>
            </w:r>
          </w:p>
        </w:tc>
        <w:tc>
          <w:tcPr>
            <w:tcW w:type="dxa" w:w="1007"/>
            <w:vAlign w:val="center"/>
            <w:tcMar>
              <w:top w:w="85" w:type="dxa"/>
              <w:start w:w="105" w:type="dxa"/>
              <w:bottom w:w="85" w:type="dxa"/>
              <w:end w:w="105" w:type="dxa"/>
            </w:tcMar>
            <w:shd w:fill="17324D"/>
            <w:tcBorders>
              <w:top w:val="single" w:sz="6" w:color="17324D"/>
              <w:left w:val="single" w:sz="6" w:color="17324D"/>
              <w:bottom w:val="single" w:sz="6" w:color="17324D"/>
              <w:right w:val="single" w:sz="6" w:color="17324D"/>
            </w:tcBorders>
          </w:tcPr>
          <w:p>
            <w:pPr>
              <w:spacing w:after="0" w:before="0"/>
            </w:pPr>
            <w:r/>
            <w:r>
              <w:rPr>
                <w:rFonts w:ascii="Arial" w:hAnsi="Arial" w:eastAsia="Arial"/>
                <w:b/>
                <w:i w:val="0"/>
                <w:color w:val="FFFFFF"/>
                <w:sz w:val="15"/>
              </w:rPr>
              <w:t>Dispatch</w:t>
            </w:r>
          </w:p>
        </w:tc>
        <w:tc>
          <w:tcPr>
            <w:tcW w:type="dxa" w:w="1252"/>
            <w:vAlign w:val="center"/>
            <w:tcMar>
              <w:top w:w="85" w:type="dxa"/>
              <w:start w:w="105" w:type="dxa"/>
              <w:bottom w:w="85" w:type="dxa"/>
              <w:end w:w="105" w:type="dxa"/>
            </w:tcMar>
            <w:shd w:fill="17324D"/>
            <w:tcBorders>
              <w:top w:val="single" w:sz="6" w:color="17324D"/>
              <w:left w:val="single" w:sz="6" w:color="17324D"/>
              <w:bottom w:val="single" w:sz="6" w:color="17324D"/>
              <w:right w:val="single" w:sz="6" w:color="17324D"/>
            </w:tcBorders>
          </w:tcPr>
          <w:p>
            <w:pPr>
              <w:spacing w:after="0" w:before="0"/>
            </w:pPr>
            <w:r/>
            <w:r>
              <w:rPr>
                <w:rFonts w:ascii="Arial" w:hAnsi="Arial" w:eastAsia="Arial"/>
                <w:b/>
                <w:i w:val="0"/>
                <w:color w:val="FFFFFF"/>
                <w:sz w:val="15"/>
              </w:rPr>
              <w:t>Unconfirmed</w:t>
            </w:r>
          </w:p>
        </w:tc>
        <w:tc>
          <w:tcPr>
            <w:tcW w:type="dxa" w:w="3384"/>
            <w:vAlign w:val="center"/>
            <w:tcMar>
              <w:top w:w="85" w:type="dxa"/>
              <w:start w:w="105" w:type="dxa"/>
              <w:bottom w:w="85" w:type="dxa"/>
              <w:end w:w="105" w:type="dxa"/>
            </w:tcMar>
            <w:shd w:fill="17324D"/>
            <w:tcBorders>
              <w:top w:val="single" w:sz="6" w:color="17324D"/>
              <w:left w:val="single" w:sz="6" w:color="17324D"/>
              <w:bottom w:val="single" w:sz="6" w:color="17324D"/>
              <w:right w:val="single" w:sz="6" w:color="17324D"/>
            </w:tcBorders>
          </w:tcPr>
          <w:p>
            <w:pPr>
              <w:spacing w:after="0" w:before="0"/>
            </w:pPr>
            <w:r/>
            <w:r>
              <w:rPr>
                <w:rFonts w:ascii="Arial" w:hAnsi="Arial" w:eastAsia="Arial"/>
                <w:b/>
                <w:i w:val="0"/>
                <w:color w:val="FFFFFF"/>
                <w:sz w:val="15"/>
              </w:rPr>
              <w:t>Total / combined % R-D-U</w:t>
            </w:r>
          </w:p>
        </w:tc>
      </w:tr>
      <w:tr>
        <w:tc>
          <w:tcPr>
            <w:tcW w:type="dxa" w:w="1036"/>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April</w:t>
            </w:r>
          </w:p>
        </w:tc>
        <w:tc>
          <w:tcPr>
            <w:tcW w:type="dxa" w:w="1483"/>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England</w:t>
            </w:r>
          </w:p>
        </w:tc>
        <w:tc>
          <w:tcPr>
            <w:tcW w:type="dxa" w:w="936"/>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15</w:t>
            </w:r>
          </w:p>
        </w:tc>
        <w:tc>
          <w:tcPr>
            <w:tcW w:type="dxa" w:w="1007"/>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6</w:t>
            </w:r>
          </w:p>
        </w:tc>
        <w:tc>
          <w:tcPr>
            <w:tcW w:type="dxa" w:w="1252"/>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3</w:t>
            </w:r>
          </w:p>
        </w:tc>
        <w:tc>
          <w:tcPr>
            <w:tcW w:type="dxa" w:w="3384"/>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24</w:t>
            </w:r>
          </w:p>
        </w:tc>
      </w:tr>
      <w:tr>
        <w:tc>
          <w:tcPr>
            <w:tcW w:type="dxa" w:w="1036"/>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April</w:t>
            </w:r>
          </w:p>
        </w:tc>
        <w:tc>
          <w:tcPr>
            <w:tcW w:type="dxa" w:w="1483"/>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Scotland</w:t>
            </w:r>
          </w:p>
        </w:tc>
        <w:tc>
          <w:tcPr>
            <w:tcW w:type="dxa" w:w="936"/>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9</w:t>
            </w:r>
          </w:p>
        </w:tc>
        <w:tc>
          <w:tcPr>
            <w:tcW w:type="dxa" w:w="1007"/>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5</w:t>
            </w:r>
          </w:p>
        </w:tc>
        <w:tc>
          <w:tcPr>
            <w:tcW w:type="dxa" w:w="1252"/>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2</w:t>
            </w:r>
          </w:p>
        </w:tc>
        <w:tc>
          <w:tcPr>
            <w:tcW w:type="dxa" w:w="3384"/>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16</w:t>
            </w:r>
          </w:p>
        </w:tc>
      </w:tr>
      <w:tr>
        <w:tc>
          <w:tcPr>
            <w:tcW w:type="dxa" w:w="1036"/>
            <w:vAlign w:val="center"/>
            <w:tcMar>
              <w:top w:w="85" w:type="dxa"/>
              <w:start w:w="105" w:type="dxa"/>
              <w:bottom w:w="85" w:type="dxa"/>
              <w:end w:w="105" w:type="dxa"/>
            </w:tcMar>
            <w:shd w:fill="E7F4F2"/>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April</w:t>
            </w:r>
          </w:p>
        </w:tc>
        <w:tc>
          <w:tcPr>
            <w:tcW w:type="dxa" w:w="1483"/>
            <w:vAlign w:val="center"/>
            <w:tcMar>
              <w:top w:w="85" w:type="dxa"/>
              <w:start w:w="105" w:type="dxa"/>
              <w:bottom w:w="85" w:type="dxa"/>
              <w:end w:w="105" w:type="dxa"/>
            </w:tcMar>
            <w:shd w:fill="E7F4F2"/>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Combined</w:t>
            </w:r>
          </w:p>
        </w:tc>
        <w:tc>
          <w:tcPr>
            <w:tcW w:type="dxa" w:w="936"/>
            <w:vAlign w:val="center"/>
            <w:tcMar>
              <w:top w:w="85" w:type="dxa"/>
              <w:start w:w="105" w:type="dxa"/>
              <w:bottom w:w="85" w:type="dxa"/>
              <w:end w:w="105" w:type="dxa"/>
            </w:tcMar>
            <w:shd w:fill="E7F4F2"/>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24</w:t>
            </w:r>
          </w:p>
        </w:tc>
        <w:tc>
          <w:tcPr>
            <w:tcW w:type="dxa" w:w="1007"/>
            <w:vAlign w:val="center"/>
            <w:tcMar>
              <w:top w:w="85" w:type="dxa"/>
              <w:start w:w="105" w:type="dxa"/>
              <w:bottom w:w="85" w:type="dxa"/>
              <w:end w:w="105" w:type="dxa"/>
            </w:tcMar>
            <w:shd w:fill="E7F4F2"/>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11</w:t>
            </w:r>
          </w:p>
        </w:tc>
        <w:tc>
          <w:tcPr>
            <w:tcW w:type="dxa" w:w="1252"/>
            <w:vAlign w:val="center"/>
            <w:tcMar>
              <w:top w:w="85" w:type="dxa"/>
              <w:start w:w="105" w:type="dxa"/>
              <w:bottom w:w="85" w:type="dxa"/>
              <w:end w:w="105" w:type="dxa"/>
            </w:tcMar>
            <w:shd w:fill="E7F4F2"/>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5</w:t>
            </w:r>
          </w:p>
        </w:tc>
        <w:tc>
          <w:tcPr>
            <w:tcW w:type="dxa" w:w="3384"/>
            <w:vAlign w:val="center"/>
            <w:tcMar>
              <w:top w:w="85" w:type="dxa"/>
              <w:start w:w="105" w:type="dxa"/>
              <w:bottom w:w="85" w:type="dxa"/>
              <w:end w:w="105" w:type="dxa"/>
            </w:tcMar>
            <w:shd w:fill="E7F4F2"/>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40 | 60.0%/27.5%/12.5%</w:t>
            </w:r>
          </w:p>
        </w:tc>
      </w:tr>
      <w:tr>
        <w:tc>
          <w:tcPr>
            <w:tcW w:type="dxa" w:w="1036"/>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May</w:t>
            </w:r>
          </w:p>
        </w:tc>
        <w:tc>
          <w:tcPr>
            <w:tcW w:type="dxa" w:w="1483"/>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England</w:t>
            </w:r>
          </w:p>
        </w:tc>
        <w:tc>
          <w:tcPr>
            <w:tcW w:type="dxa" w:w="936"/>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18</w:t>
            </w:r>
          </w:p>
        </w:tc>
        <w:tc>
          <w:tcPr>
            <w:tcW w:type="dxa" w:w="1007"/>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4</w:t>
            </w:r>
          </w:p>
        </w:tc>
        <w:tc>
          <w:tcPr>
            <w:tcW w:type="dxa" w:w="1252"/>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2</w:t>
            </w:r>
          </w:p>
        </w:tc>
        <w:tc>
          <w:tcPr>
            <w:tcW w:type="dxa" w:w="3384"/>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24</w:t>
            </w:r>
          </w:p>
        </w:tc>
      </w:tr>
      <w:tr>
        <w:tc>
          <w:tcPr>
            <w:tcW w:type="dxa" w:w="1036"/>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May</w:t>
            </w:r>
          </w:p>
        </w:tc>
        <w:tc>
          <w:tcPr>
            <w:tcW w:type="dxa" w:w="1483"/>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Scotland</w:t>
            </w:r>
          </w:p>
        </w:tc>
        <w:tc>
          <w:tcPr>
            <w:tcW w:type="dxa" w:w="936"/>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11</w:t>
            </w:r>
          </w:p>
        </w:tc>
        <w:tc>
          <w:tcPr>
            <w:tcW w:type="dxa" w:w="1007"/>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3</w:t>
            </w:r>
          </w:p>
        </w:tc>
        <w:tc>
          <w:tcPr>
            <w:tcW w:type="dxa" w:w="1252"/>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2</w:t>
            </w:r>
          </w:p>
        </w:tc>
        <w:tc>
          <w:tcPr>
            <w:tcW w:type="dxa" w:w="3384"/>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16</w:t>
            </w:r>
          </w:p>
        </w:tc>
      </w:tr>
      <w:tr>
        <w:tc>
          <w:tcPr>
            <w:tcW w:type="dxa" w:w="1036"/>
            <w:vAlign w:val="center"/>
            <w:tcMar>
              <w:top w:w="85" w:type="dxa"/>
              <w:start w:w="105" w:type="dxa"/>
              <w:bottom w:w="85" w:type="dxa"/>
              <w:end w:w="105" w:type="dxa"/>
            </w:tcMar>
            <w:shd w:fill="E7F4F2"/>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May</w:t>
            </w:r>
          </w:p>
        </w:tc>
        <w:tc>
          <w:tcPr>
            <w:tcW w:type="dxa" w:w="1483"/>
            <w:vAlign w:val="center"/>
            <w:tcMar>
              <w:top w:w="85" w:type="dxa"/>
              <w:start w:w="105" w:type="dxa"/>
              <w:bottom w:w="85" w:type="dxa"/>
              <w:end w:w="105" w:type="dxa"/>
            </w:tcMar>
            <w:shd w:fill="E7F4F2"/>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Combined</w:t>
            </w:r>
          </w:p>
        </w:tc>
        <w:tc>
          <w:tcPr>
            <w:tcW w:type="dxa" w:w="936"/>
            <w:vAlign w:val="center"/>
            <w:tcMar>
              <w:top w:w="85" w:type="dxa"/>
              <w:start w:w="105" w:type="dxa"/>
              <w:bottom w:w="85" w:type="dxa"/>
              <w:end w:w="105" w:type="dxa"/>
            </w:tcMar>
            <w:shd w:fill="E7F4F2"/>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29</w:t>
            </w:r>
          </w:p>
        </w:tc>
        <w:tc>
          <w:tcPr>
            <w:tcW w:type="dxa" w:w="1007"/>
            <w:vAlign w:val="center"/>
            <w:tcMar>
              <w:top w:w="85" w:type="dxa"/>
              <w:start w:w="105" w:type="dxa"/>
              <w:bottom w:w="85" w:type="dxa"/>
              <w:end w:w="105" w:type="dxa"/>
            </w:tcMar>
            <w:shd w:fill="E7F4F2"/>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7</w:t>
            </w:r>
          </w:p>
        </w:tc>
        <w:tc>
          <w:tcPr>
            <w:tcW w:type="dxa" w:w="1252"/>
            <w:vAlign w:val="center"/>
            <w:tcMar>
              <w:top w:w="85" w:type="dxa"/>
              <w:start w:w="105" w:type="dxa"/>
              <w:bottom w:w="85" w:type="dxa"/>
              <w:end w:w="105" w:type="dxa"/>
            </w:tcMar>
            <w:shd w:fill="E7F4F2"/>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4</w:t>
            </w:r>
          </w:p>
        </w:tc>
        <w:tc>
          <w:tcPr>
            <w:tcW w:type="dxa" w:w="3384"/>
            <w:vAlign w:val="center"/>
            <w:tcMar>
              <w:top w:w="85" w:type="dxa"/>
              <w:start w:w="105" w:type="dxa"/>
              <w:bottom w:w="85" w:type="dxa"/>
              <w:end w:w="105" w:type="dxa"/>
            </w:tcMar>
            <w:shd w:fill="E7F4F2"/>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40 | 72.5%/17.5%/10.0%</w:t>
            </w:r>
          </w:p>
        </w:tc>
      </w:tr>
    </w:tbl>
    <w:p>
      <w:pPr>
        <w:spacing w:after="40" w:line="247" w:lineRule="auto"/>
      </w:pPr>
      <w:r>
        <w:rPr>
          <w:rFonts w:ascii="Arial" w:hAnsi="Arial" w:eastAsia="Arial"/>
          <w:b/>
          <w:i w:val="0"/>
          <w:color w:val="1E2933"/>
          <w:sz w:val="16"/>
        </w:rPr>
        <w:t>April combined:</w:t>
      </w:r>
      <w:r>
        <w:rPr>
          <w:rFonts w:ascii="Arial" w:hAnsi="Arial" w:eastAsia="Arial"/>
          <w:b w:val="0"/>
          <w:i w:val="0"/>
          <w:color w:val="1E2933"/>
          <w:sz w:val="16"/>
        </w:rPr>
        <w:t xml:space="preserve"> RECEIPT 60.0%, DISPATCH 27.5%, UNCONFIRMED 12.5%. May combined: RECEIPT 72.5%, DISPATCH 17.5%, UNCONFIRMED 10.0%.</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263"/>
        <w:gridCol w:w="5263"/>
      </w:tblGrid>
      <w:tr>
        <w:tc>
          <w:tcPr>
            <w:tcW w:type="dxa" w:w="1800"/>
            <w:shd w:fill="B6503C"/>
            <w:tcBorders>
              <w:top w:val="single" w:sz="6" w:color="B6503C"/>
              <w:left w:val="single" w:sz="6" w:color="B6503C"/>
              <w:bottom w:val="single" w:sz="6" w:color="B6503C"/>
              <w:right w:val="single" w:sz="6" w:color="B6503C"/>
            </w:tcBorders>
            <w:tcMar>
              <w:top w:w="100" w:type="dxa"/>
              <w:start w:w="105" w:type="dxa"/>
              <w:bottom w:w="100" w:type="dxa"/>
              <w:end w:w="105" w:type="dxa"/>
            </w:tcMar>
          </w:tcPr>
          <w:p>
            <w:pPr>
              <w:spacing w:after="40" w:before="0"/>
              <w:jc w:val="center"/>
            </w:pPr>
            <w:r/>
            <w:r>
              <w:rPr>
                <w:rFonts w:ascii="Arial" w:hAnsi="Arial" w:eastAsia="Arial"/>
                <w:b/>
                <w:i w:val="0"/>
                <w:color w:val="FFFFFF"/>
                <w:sz w:val="16"/>
              </w:rPr>
              <w:t>READ IT CORRECTLY</w:t>
            </w:r>
          </w:p>
        </w:tc>
        <w:tc>
          <w:tcPr>
            <w:tcW w:type="dxa" w:w="8640"/>
            <w:shd w:fill="F8ECE8"/>
            <w:tcBorders>
              <w:top w:val="single" w:sz="6" w:color="F8ECE8"/>
              <w:left w:val="single" w:sz="6" w:color="F8ECE8"/>
              <w:bottom w:val="single" w:sz="6" w:color="F8ECE8"/>
              <w:right w:val="single" w:sz="6" w:color="F8ECE8"/>
            </w:tcBorders>
            <w:tcMar>
              <w:top w:w="100" w:type="dxa"/>
              <w:start w:w="105" w:type="dxa"/>
              <w:bottom w:w="100" w:type="dxa"/>
              <w:end w:w="105" w:type="dxa"/>
            </w:tcMar>
          </w:tcPr>
          <w:p>
            <w:pPr>
              <w:spacing w:after="40" w:before="0"/>
              <w:jc w:val="left"/>
            </w:pPr>
            <w:r/>
            <w:r>
              <w:rPr>
                <w:rFonts w:ascii="Arial" w:hAnsi="Arial" w:eastAsia="Arial"/>
                <w:b w:val="0"/>
                <w:i w:val="0"/>
                <w:color w:val="1E2933"/>
                <w:sz w:val="17"/>
              </w:rPr>
              <w:t>Across the comparable 40-record monthly samples, receipt increased by 5, dispatch decreased by 4, and unconfirmed decreased by 1 after internal review and template work. This does not prove a change in law or track the same contracts.</w:t>
            </w:r>
          </w:p>
        </w:tc>
      </w:tr>
    </w:tbl>
    <w:p>
      <w:r>
        <w:br w:type="page"/>
      </w:r>
    </w:p>
    <w:p>
      <w:pPr>
        <w:spacing w:after="20"/>
      </w:pPr>
      <w:r>
        <w:rPr>
          <w:rFonts w:ascii="Arial" w:hAnsi="Arial" w:eastAsia="Arial"/>
          <w:b/>
          <w:i w:val="0"/>
          <w:color w:val="007C78"/>
          <w:sz w:val="16"/>
        </w:rPr>
        <w:t>LEARNER MATERIAL | 4 OF 4</w:t>
      </w:r>
    </w:p>
    <w:p>
      <w:pPr>
        <w:pStyle w:val="Heading1"/>
        <w:spacing w:before="0" w:after="40"/>
      </w:pPr>
      <w:r>
        <w:rPr>
          <w:rFonts w:ascii="Arial" w:hAnsi="Arial" w:eastAsia="Arial"/>
          <w:b/>
          <w:i w:val="0"/>
          <w:color w:val="17324D"/>
          <w:sz w:val="34"/>
        </w:rPr>
        <w:t>4 | Put timing and ownership into action</w:t>
      </w:r>
    </w:p>
    <w:p>
      <w:pPr>
        <w:spacing w:after="100"/>
      </w:pPr>
      <w:r>
        <w:rPr>
          <w:rFonts w:ascii="Arial" w:hAnsi="Arial" w:eastAsia="Arial"/>
          <w:b w:val="0"/>
          <w:i w:val="0"/>
          <w:color w:val="52616B"/>
          <w:sz w:val="19"/>
        </w:rPr>
        <w:t>The workshop is a handoff point: prepare the pack, close the transition, then use the end-state process.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527"/>
      </w:tblGrid>
      <w:tr>
        <w:tc>
          <w:tcPr>
            <w:tcW w:type="dxa" w:w="10440"/>
            <w:shd w:fill="007C78"/>
            <w:tcMar>
              <w:top w:w="14" w:type="dxa"/>
              <w:start w:w="0" w:type="dxa"/>
              <w:bottom w:w="14" w:type="dxa"/>
              <w:end w:w="0" w:type="dxa"/>
            </w:tcMar>
          </w:tcPr>
          <w:p>
            <w:r/>
          </w:p>
        </w:tc>
      </w:tr>
    </w:tbl>
    <w:p>
      <w:pPr>
        <w:pStyle w:val="Heading2"/>
        <w:spacing w:before="100" w:after="40"/>
      </w:pPr>
      <w:r>
        <w:rPr>
          <w:rFonts w:ascii="Arial" w:hAnsi="Arial" w:eastAsia="Arial"/>
          <w:b/>
          <w:i w:val="0"/>
          <w:color w:val="007C78"/>
          <w:sz w:val="23"/>
        </w:rPr>
        <w:t>Deadline plan</w:t>
      </w:r>
    </w:p>
    <w:tbl>
      <w:tblPr>
        <w:tblW w:type="auto" w:w="0"/>
        <w:jc w:val="center"/>
        <w:tblLayout w:type="fixed"/>
        <w:tblLook w:firstColumn="1" w:firstRow="1" w:lastColumn="0" w:lastRow="0" w:noHBand="0" w:noVBand="1" w:val="04A0"/>
      </w:tblPr>
      <w:tblGrid>
        <w:gridCol w:w="3509"/>
        <w:gridCol w:w="3509"/>
        <w:gridCol w:w="3509"/>
      </w:tblGrid>
      <w:tr>
        <w:trPr>
          <w:tblHeader w:val="true"/>
        </w:trPr>
        <w:tc>
          <w:tcPr>
            <w:tcW w:type="dxa" w:w="1987"/>
            <w:vAlign w:val="center"/>
            <w:tcMar>
              <w:top w:w="85" w:type="dxa"/>
              <w:start w:w="105" w:type="dxa"/>
              <w:bottom w:w="85" w:type="dxa"/>
              <w:end w:w="105" w:type="dxa"/>
            </w:tcMar>
            <w:shd w:fill="17324D"/>
            <w:tcBorders>
              <w:top w:val="single" w:sz="6" w:color="17324D"/>
              <w:left w:val="single" w:sz="6" w:color="17324D"/>
              <w:bottom w:val="single" w:sz="6" w:color="17324D"/>
              <w:right w:val="single" w:sz="6" w:color="17324D"/>
            </w:tcBorders>
          </w:tcPr>
          <w:p>
            <w:pPr>
              <w:spacing w:after="0" w:before="0"/>
            </w:pPr>
            <w:r/>
            <w:r>
              <w:rPr>
                <w:rFonts w:ascii="Arial" w:hAnsi="Arial" w:eastAsia="Arial"/>
                <w:b/>
                <w:i w:val="0"/>
                <w:color w:val="FFFFFF"/>
                <w:sz w:val="16"/>
              </w:rPr>
              <w:t>When</w:t>
            </w:r>
          </w:p>
        </w:tc>
        <w:tc>
          <w:tcPr>
            <w:tcW w:type="dxa" w:w="1771"/>
            <w:vAlign w:val="center"/>
            <w:tcMar>
              <w:top w:w="85" w:type="dxa"/>
              <w:start w:w="105" w:type="dxa"/>
              <w:bottom w:w="85" w:type="dxa"/>
              <w:end w:w="105" w:type="dxa"/>
            </w:tcMar>
            <w:shd w:fill="17324D"/>
            <w:tcBorders>
              <w:top w:val="single" w:sz="6" w:color="17324D"/>
              <w:left w:val="single" w:sz="6" w:color="17324D"/>
              <w:bottom w:val="single" w:sz="6" w:color="17324D"/>
              <w:right w:val="single" w:sz="6" w:color="17324D"/>
            </w:tcBorders>
          </w:tcPr>
          <w:p>
            <w:pPr>
              <w:spacing w:after="0" w:before="0"/>
            </w:pPr>
            <w:r/>
            <w:r>
              <w:rPr>
                <w:rFonts w:ascii="Arial" w:hAnsi="Arial" w:eastAsia="Arial"/>
                <w:b/>
                <w:i w:val="0"/>
                <w:color w:val="FFFFFF"/>
                <w:sz w:val="16"/>
              </w:rPr>
              <w:t>Milestone</w:t>
            </w:r>
          </w:p>
        </w:tc>
        <w:tc>
          <w:tcPr>
            <w:tcW w:type="dxa" w:w="6595"/>
            <w:vAlign w:val="center"/>
            <w:tcMar>
              <w:top w:w="85" w:type="dxa"/>
              <w:start w:w="105" w:type="dxa"/>
              <w:bottom w:w="85" w:type="dxa"/>
              <w:end w:w="105" w:type="dxa"/>
            </w:tcMar>
            <w:shd w:fill="17324D"/>
            <w:tcBorders>
              <w:top w:val="single" w:sz="6" w:color="17324D"/>
              <w:left w:val="single" w:sz="6" w:color="17324D"/>
              <w:bottom w:val="single" w:sz="6" w:color="17324D"/>
              <w:right w:val="single" w:sz="6" w:color="17324D"/>
            </w:tcBorders>
          </w:tcPr>
          <w:p>
            <w:pPr>
              <w:spacing w:after="0" w:before="0"/>
            </w:pPr>
            <w:r/>
            <w:r>
              <w:rPr>
                <w:rFonts w:ascii="Arial" w:hAnsi="Arial" w:eastAsia="Arial"/>
                <w:b/>
                <w:i w:val="0"/>
                <w:color w:val="FFFFFF"/>
                <w:sz w:val="16"/>
              </w:rPr>
              <w:t>Owner and handoff</w:t>
            </w:r>
          </w:p>
        </w:tc>
      </w:tr>
      <w:tr>
        <w:tc>
          <w:tcPr>
            <w:tcW w:type="dxa" w:w="1987"/>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t>19 June 2026 at 12:00</w:t>
            </w:r>
          </w:p>
        </w:tc>
        <w:tc>
          <w:tcPr>
            <w:tcW w:type="dxa" w:w="1771"/>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t>Pack ready</w:t>
            </w:r>
          </w:p>
        </w:tc>
        <w:tc>
          <w:tcPr>
            <w:tcW w:type="dxa" w:w="6595"/>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t>Mariam Haldorsen owns training-pack readiness and workshop preparation.</w:t>
            </w:r>
          </w:p>
        </w:tc>
      </w:tr>
      <w:tr>
        <w:tc>
          <w:tcPr>
            <w:tcW w:type="dxa" w:w="1987"/>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t>22 June 2026</w:t>
            </w:r>
          </w:p>
        </w:tc>
        <w:tc>
          <w:tcPr>
            <w:tcW w:type="dxa" w:w="1771"/>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t>Renewal workshop</w:t>
            </w:r>
          </w:p>
        </w:tc>
        <w:tc>
          <w:tcPr>
            <w:tcW w:type="dxa" w:w="6595"/>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t>Mariam owns the workshop; Darius Ekstrom leads England sales input and Imani Ekstrom leads Scotland sales input.</w:t>
            </w:r>
          </w:p>
        </w:tc>
      </w:tr>
      <w:tr>
        <w:tc>
          <w:tcPr>
            <w:tcW w:type="dxa" w:w="1987"/>
            <w:vAlign w:val="center"/>
            <w:tcMar>
              <w:top w:w="85" w:type="dxa"/>
              <w:start w:w="105" w:type="dxa"/>
              <w:bottom w:w="85" w:type="dxa"/>
              <w:end w:w="105" w:type="dxa"/>
            </w:tcMar>
            <w:shd w:fill="FBF3E3"/>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t>30 June 2026</w:t>
            </w:r>
          </w:p>
        </w:tc>
        <w:tc>
          <w:tcPr>
            <w:tcW w:type="dxa" w:w="1771"/>
            <w:vAlign w:val="center"/>
            <w:tcMar>
              <w:top w:w="85" w:type="dxa"/>
              <w:start w:w="105" w:type="dxa"/>
              <w:bottom w:w="85" w:type="dxa"/>
              <w:end w:w="105" w:type="dxa"/>
            </w:tcMar>
            <w:shd w:fill="FBF3E3"/>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t>Transition close</w:t>
            </w:r>
          </w:p>
        </w:tc>
        <w:tc>
          <w:tcPr>
            <w:tcW w:type="dxa" w:w="6595"/>
            <w:vAlign w:val="center"/>
            <w:tcMar>
              <w:top w:w="85" w:type="dxa"/>
              <w:start w:w="105" w:type="dxa"/>
              <w:bottom w:w="85" w:type="dxa"/>
              <w:end w:w="105" w:type="dxa"/>
            </w:tcMar>
            <w:shd w:fill="FBF3E3"/>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t>Mahdi Mikkelsen owns the CRM and process update; sales leads reinforce the signed-definition control.</w:t>
            </w:r>
          </w:p>
        </w:tc>
      </w:tr>
      <w:tr>
        <w:tc>
          <w:tcPr>
            <w:tcW w:type="dxa" w:w="1987"/>
            <w:vAlign w:val="center"/>
            <w:tcMar>
              <w:top w:w="85" w:type="dxa"/>
              <w:start w:w="105" w:type="dxa"/>
              <w:bottom w:w="85" w:type="dxa"/>
              <w:end w:w="105" w:type="dxa"/>
            </w:tcMar>
            <w:shd w:fill="EAF4EC"/>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t>1 July 2026</w:t>
            </w:r>
          </w:p>
        </w:tc>
        <w:tc>
          <w:tcPr>
            <w:tcW w:type="dxa" w:w="1771"/>
            <w:vAlign w:val="center"/>
            <w:tcMar>
              <w:top w:w="85" w:type="dxa"/>
              <w:start w:w="105" w:type="dxa"/>
              <w:bottom w:w="85" w:type="dxa"/>
              <w:end w:w="105" w:type="dxa"/>
            </w:tcMar>
            <w:shd w:fill="EAF4EC"/>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t>End-state start</w:t>
            </w:r>
          </w:p>
        </w:tc>
        <w:tc>
          <w:tcPr>
            <w:tcW w:type="dxa" w:w="6595"/>
            <w:vAlign w:val="center"/>
            <w:tcMar>
              <w:top w:w="85" w:type="dxa"/>
              <w:start w:w="105" w:type="dxa"/>
              <w:bottom w:w="85" w:type="dxa"/>
              <w:end w:w="105" w:type="dxa"/>
            </w:tcMar>
            <w:shd w:fill="EAF4EC"/>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t>New or renewed agreements use the reviewed contract-defined approach; Sigrid remains the legal route for ambiguity.</w:t>
            </w:r>
          </w:p>
        </w:tc>
      </w:tr>
    </w:tbl>
    <w:p>
      <w:pPr>
        <w:pStyle w:val="Heading2"/>
        <w:spacing w:before="100" w:after="40"/>
      </w:pPr>
      <w:r>
        <w:rPr>
          <w:rFonts w:ascii="Arial" w:hAnsi="Arial" w:eastAsia="Arial"/>
          <w:b/>
          <w:i w:val="0"/>
          <w:color w:val="007C78"/>
          <w:sz w:val="23"/>
        </w:rPr>
        <w:t>Named responsibilities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263"/>
        <w:gridCol w:w="5263"/>
      </w:tblGrid>
      <w:tr>
        <w:tc>
          <w:tcPr>
            <w:tcW w:type="dxa" w:w="3240"/>
            <w:shd w:fill="E9F1F6"/>
            <w:tcBorders>
              <w:top w:val="single" w:sz="6" w:color="E9F1F6"/>
              <w:left w:val="single" w:sz="6" w:color="E9F1F6"/>
              <w:bottom w:val="single" w:sz="6" w:color="E9F1F6"/>
              <w:right w:val="single" w:sz="6" w:color="E9F1F6"/>
            </w:tcBorders>
            <w:tcMar>
              <w:top w:w="100" w:type="dxa"/>
              <w:start w:w="105" w:type="dxa"/>
              <w:bottom w:w="100" w:type="dxa"/>
              <w:end w:w="105" w:type="dxa"/>
            </w:tcMar>
          </w:tcPr>
          <w:p>
            <w:pPr>
              <w:spacing w:after="40" w:before="0"/>
              <w:jc w:val="left"/>
            </w:pPr>
            <w:r/>
            <w:r>
              <w:rPr>
                <w:rFonts w:ascii="Arial" w:hAnsi="Arial" w:eastAsia="Arial"/>
                <w:b/>
                <w:i w:val="0"/>
                <w:color w:val="17324D"/>
                <w:sz w:val="17"/>
              </w:rPr>
              <w:t>Mariam Haldorsen</w:t>
            </w:r>
          </w:p>
          <w:p>
            <w:pPr>
              <w:spacing w:after="40" w:before="0"/>
              <w:jc w:val="left"/>
            </w:pPr>
            <w:r>
              <w:rPr>
                <w:rFonts w:ascii="Arial" w:hAnsi="Arial" w:eastAsia="Arial"/>
                <w:b w:val="0"/>
                <w:i w:val="0"/>
                <w:color w:val="1E2933"/>
                <w:sz w:val="15"/>
              </w:rPr>
              <w:t>Sales enablement and workshop owner</w:t>
            </w:r>
          </w:p>
        </w:tc>
        <w:tc>
          <w:tcPr>
            <w:tcW w:type="dxa" w:w="7128"/>
            <w:shd w:fill="E7F4F2"/>
            <w:tcBorders>
              <w:top w:val="single" w:sz="6" w:color="E7F4F2"/>
              <w:left w:val="single" w:sz="6" w:color="E7F4F2"/>
              <w:bottom w:val="single" w:sz="6" w:color="E7F4F2"/>
              <w:right w:val="single" w:sz="6" w:color="E7F4F2"/>
            </w:tcBorders>
            <w:tcMar>
              <w:top w:w="100" w:type="dxa"/>
              <w:start w:w="105" w:type="dxa"/>
              <w:bottom w:w="100" w:type="dxa"/>
              <w:end w:w="105" w:type="dxa"/>
            </w:tcMar>
          </w:tcPr>
          <w:p>
            <w:pPr>
              <w:spacing w:after="40" w:before="0"/>
              <w:jc w:val="left"/>
            </w:pPr>
            <w:r/>
            <w:r>
              <w:rPr>
                <w:rFonts w:ascii="Arial" w:hAnsi="Arial" w:eastAsia="Arial"/>
                <w:b/>
                <w:i w:val="0"/>
                <w:color w:val="17324D"/>
                <w:sz w:val="17"/>
              </w:rPr>
              <w:t>Sigrid Almeida</w:t>
            </w:r>
          </w:p>
          <w:p>
            <w:pPr>
              <w:spacing w:after="40" w:before="0"/>
              <w:jc w:val="left"/>
            </w:pPr>
            <w:r>
              <w:rPr>
                <w:rFonts w:ascii="Arial" w:hAnsi="Arial" w:eastAsia="Arial"/>
                <w:b w:val="0"/>
                <w:i w:val="0"/>
                <w:color w:val="1E2933"/>
                <w:sz w:val="15"/>
              </w:rPr>
              <w:t>Legal counsel for contractual ambiguity</w:t>
            </w:r>
          </w:p>
        </w:tc>
      </w:tr>
      <w:tr>
        <w:tc>
          <w:tcPr>
            <w:tcW w:type="dxa" w:w="3240"/>
            <w:shd w:fill="FBF3E3"/>
            <w:tcBorders>
              <w:top w:val="single" w:sz="6" w:color="FBF3E3"/>
              <w:left w:val="single" w:sz="6" w:color="FBF3E3"/>
              <w:bottom w:val="single" w:sz="6" w:color="FBF3E3"/>
              <w:right w:val="single" w:sz="6" w:color="FBF3E3"/>
            </w:tcBorders>
            <w:tcMar>
              <w:top w:w="100" w:type="dxa"/>
              <w:start w:w="105" w:type="dxa"/>
              <w:bottom w:w="100" w:type="dxa"/>
              <w:end w:w="105" w:type="dxa"/>
            </w:tcMar>
          </w:tcPr>
          <w:p>
            <w:pPr>
              <w:spacing w:after="40" w:before="0"/>
              <w:jc w:val="left"/>
            </w:pPr>
            <w:r/>
            <w:r>
              <w:rPr>
                <w:rFonts w:ascii="Arial" w:hAnsi="Arial" w:eastAsia="Arial"/>
                <w:b/>
                <w:i w:val="0"/>
                <w:color w:val="17324D"/>
                <w:sz w:val="17"/>
              </w:rPr>
              <w:t>Darius Ekstrom</w:t>
            </w:r>
          </w:p>
          <w:p>
            <w:pPr>
              <w:spacing w:after="40" w:before="0"/>
              <w:jc w:val="left"/>
            </w:pPr>
            <w:r>
              <w:rPr>
                <w:rFonts w:ascii="Arial" w:hAnsi="Arial" w:eastAsia="Arial"/>
                <w:b w:val="0"/>
                <w:i w:val="0"/>
                <w:color w:val="1E2933"/>
                <w:sz w:val="15"/>
              </w:rPr>
              <w:t>England sales lead</w:t>
            </w:r>
          </w:p>
        </w:tc>
        <w:tc>
          <w:tcPr>
            <w:tcW w:type="dxa" w:w="7128"/>
            <w:shd w:fill="F8ECE8"/>
            <w:tcBorders>
              <w:top w:val="single" w:sz="6" w:color="F8ECE8"/>
              <w:left w:val="single" w:sz="6" w:color="F8ECE8"/>
              <w:bottom w:val="single" w:sz="6" w:color="F8ECE8"/>
              <w:right w:val="single" w:sz="6" w:color="F8ECE8"/>
            </w:tcBorders>
            <w:tcMar>
              <w:top w:w="100" w:type="dxa"/>
              <w:start w:w="105" w:type="dxa"/>
              <w:bottom w:w="100" w:type="dxa"/>
              <w:end w:w="105" w:type="dxa"/>
            </w:tcMar>
          </w:tcPr>
          <w:p>
            <w:pPr>
              <w:spacing w:after="40" w:before="0"/>
              <w:jc w:val="left"/>
            </w:pPr>
            <w:r/>
            <w:r>
              <w:rPr>
                <w:rFonts w:ascii="Arial" w:hAnsi="Arial" w:eastAsia="Arial"/>
                <w:b/>
                <w:i w:val="0"/>
                <w:color w:val="17324D"/>
                <w:sz w:val="17"/>
              </w:rPr>
              <w:t>Imani Ekstrom</w:t>
            </w:r>
          </w:p>
          <w:p>
            <w:pPr>
              <w:spacing w:after="40" w:before="0"/>
              <w:jc w:val="left"/>
            </w:pPr>
            <w:r>
              <w:rPr>
                <w:rFonts w:ascii="Arial" w:hAnsi="Arial" w:eastAsia="Arial"/>
                <w:b w:val="0"/>
                <w:i w:val="0"/>
                <w:color w:val="1E2933"/>
                <w:sz w:val="15"/>
              </w:rPr>
              <w:t>Scotland sales lead</w:t>
            </w:r>
          </w:p>
        </w:tc>
      </w:tr>
      <w:tr>
        <w:tc>
          <w:tcPr>
            <w:tcW w:type="dxa" w:w="3240"/>
            <w:shd w:fill="EAF4EC"/>
            <w:tcBorders>
              <w:top w:val="single" w:sz="6" w:color="EAF4EC"/>
              <w:left w:val="single" w:sz="6" w:color="EAF4EC"/>
              <w:bottom w:val="single" w:sz="6" w:color="EAF4EC"/>
              <w:right w:val="single" w:sz="6" w:color="EAF4EC"/>
            </w:tcBorders>
            <w:tcMar>
              <w:top w:w="100" w:type="dxa"/>
              <w:start w:w="105" w:type="dxa"/>
              <w:bottom w:w="100" w:type="dxa"/>
              <w:end w:w="105" w:type="dxa"/>
            </w:tcMar>
          </w:tcPr>
          <w:p>
            <w:pPr>
              <w:spacing w:after="40" w:before="0"/>
              <w:jc w:val="left"/>
            </w:pPr>
            <w:r/>
            <w:r>
              <w:rPr>
                <w:rFonts w:ascii="Arial" w:hAnsi="Arial" w:eastAsia="Arial"/>
                <w:b/>
                <w:i w:val="0"/>
                <w:color w:val="17324D"/>
                <w:sz w:val="17"/>
              </w:rPr>
              <w:t>Mahdi Mikkelsen</w:t>
            </w:r>
          </w:p>
          <w:p>
            <w:pPr>
              <w:spacing w:after="40" w:before="0"/>
              <w:jc w:val="left"/>
            </w:pPr>
            <w:r>
              <w:rPr>
                <w:rFonts w:ascii="Arial" w:hAnsi="Arial" w:eastAsia="Arial"/>
                <w:b w:val="0"/>
                <w:i w:val="0"/>
                <w:color w:val="1E2933"/>
                <w:sz w:val="15"/>
              </w:rPr>
              <w:t>CRM and process owner</w:t>
            </w:r>
          </w:p>
        </w:tc>
        <w:tc>
          <w:tcPr>
            <w:tcW w:type="dxa" w:w="7128"/>
            <w:shd w:fill="F2F5F7"/>
            <w:tcBorders>
              <w:top w:val="single" w:sz="6" w:color="F2F5F7"/>
              <w:left w:val="single" w:sz="6" w:color="F2F5F7"/>
              <w:bottom w:val="single" w:sz="6" w:color="F2F5F7"/>
              <w:right w:val="single" w:sz="6" w:color="F2F5F7"/>
            </w:tcBorders>
            <w:tcMar>
              <w:top w:w="100" w:type="dxa"/>
              <w:start w:w="105" w:type="dxa"/>
              <w:bottom w:w="100" w:type="dxa"/>
              <w:end w:w="105" w:type="dxa"/>
            </w:tcMar>
          </w:tcPr>
          <w:p>
            <w:pPr>
              <w:spacing w:after="40" w:before="0"/>
              <w:jc w:val="left"/>
            </w:pPr>
            <w:r/>
            <w:r>
              <w:rPr>
                <w:rFonts w:ascii="Arial" w:hAnsi="Arial" w:eastAsia="Arial"/>
                <w:b/>
                <w:i w:val="0"/>
                <w:color w:val="17324D"/>
                <w:sz w:val="17"/>
              </w:rPr>
              <w:t>All sales staff</w:t>
            </w:r>
          </w:p>
          <w:p>
            <w:pPr>
              <w:spacing w:after="40" w:before="0"/>
              <w:jc w:val="left"/>
            </w:pPr>
            <w:r>
              <w:rPr>
                <w:rFonts w:ascii="Arial" w:hAnsi="Arial" w:eastAsia="Arial"/>
                <w:b w:val="0"/>
                <w:i w:val="0"/>
                <w:color w:val="1E2933"/>
                <w:sz w:val="15"/>
              </w:rPr>
              <w:t>Follow the signed clause, capture evidence, and route interpretation requests.</w:t>
            </w:r>
          </w:p>
        </w:tc>
      </w:tr>
    </w:tbl>
    <w:p>
      <w:pPr>
        <w:pStyle w:val="Heading2"/>
        <w:spacing w:before="100" w:after="40"/>
      </w:pPr>
      <w:r>
        <w:rPr>
          <w:rFonts w:ascii="Arial" w:hAnsi="Arial" w:eastAsia="Arial"/>
          <w:b/>
          <w:i w:val="0"/>
          <w:color w:val="007C78"/>
          <w:sz w:val="23"/>
        </w:rPr>
        <w:t>Before any customer-facing date statement</w:t>
      </w:r>
    </w:p>
    <w:p>
      <w:pPr>
        <w:spacing w:after="40"/>
        <w:ind w:left="216" w:hanging="173"/>
      </w:pPr>
      <w:r>
        <w:rPr>
          <w:rFonts w:ascii="Arial" w:hAnsi="Arial" w:eastAsia="Arial"/>
          <w:b/>
          <w:i w:val="0"/>
          <w:color w:val="007C78"/>
          <w:sz w:val="17"/>
        </w:rPr>
        <w:t xml:space="preserve">- </w:t>
      </w:r>
      <w:r>
        <w:rPr>
          <w:rFonts w:ascii="Arial" w:hAnsi="Arial" w:eastAsia="Arial"/>
          <w:b w:val="0"/>
          <w:i w:val="0"/>
          <w:color w:val="1E2933"/>
          <w:sz w:val="17"/>
        </w:rPr>
        <w:t>Signed wording checked; applicable jurisdiction or template context identified; event and evidence matched.</w:t>
      </w:r>
    </w:p>
    <w:p>
      <w:pPr>
        <w:spacing w:after="0"/>
        <w:ind w:left="216" w:hanging="173"/>
      </w:pPr>
      <w:r>
        <w:rPr>
          <w:rFonts w:ascii="Arial" w:hAnsi="Arial" w:eastAsia="Arial"/>
          <w:b/>
          <w:i w:val="0"/>
          <w:color w:val="007C78"/>
          <w:sz w:val="17"/>
        </w:rPr>
        <w:t xml:space="preserve">- </w:t>
      </w:r>
      <w:r>
        <w:rPr>
          <w:rFonts w:ascii="Arial" w:hAnsi="Arial" w:eastAsia="Arial"/>
          <w:b w:val="0"/>
          <w:i w:val="0"/>
          <w:color w:val="1E2933"/>
          <w:sz w:val="17"/>
        </w:rPr>
        <w:t>If any wording or evidence conflicts, record UNCONFIRMED, acknowledge without a date commitment, and route to Sigrid by 16:00 the same day.</w:t>
      </w:r>
    </w:p>
    <w:p>
      <w:r>
        <w:br w:type="page"/>
      </w:r>
    </w:p>
    <w:p>
      <w:pPr>
        <w:spacing w:after="20"/>
      </w:pPr>
      <w:r>
        <w:rPr>
          <w:rFonts w:ascii="Arial" w:hAnsi="Arial" w:eastAsia="Arial"/>
          <w:b/>
          <w:i w:val="0"/>
          <w:color w:val="007C78"/>
          <w:sz w:val="16"/>
        </w:rPr>
        <w:t>EDITABLE FACILITATOR WORKBOOK | 1 OF 3</w:t>
      </w:r>
    </w:p>
    <w:p>
      <w:pPr>
        <w:pStyle w:val="Heading1"/>
        <w:spacing w:before="0" w:after="40"/>
      </w:pPr>
      <w:r>
        <w:rPr>
          <w:rFonts w:ascii="Arial" w:hAnsi="Arial" w:eastAsia="Arial"/>
          <w:b/>
          <w:i w:val="0"/>
          <w:color w:val="17324D"/>
          <w:sz w:val="34"/>
        </w:rPr>
        <w:t>Facilitator guide</w:t>
      </w:r>
    </w:p>
    <w:p>
      <w:pPr>
        <w:spacing w:after="100"/>
      </w:pPr>
      <w:r>
        <w:rPr>
          <w:rFonts w:ascii="Arial" w:hAnsi="Arial" w:eastAsia="Arial"/>
          <w:b w:val="0"/>
          <w:i w:val="0"/>
          <w:color w:val="52616B"/>
          <w:sz w:val="19"/>
        </w:rPr>
        <w:t>Use this workbook with the learner material. All text and capture areas are editable for a later workshop.</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527"/>
      </w:tblGrid>
      <w:tr>
        <w:tc>
          <w:tcPr>
            <w:tcW w:type="dxa" w:w="10440"/>
            <w:shd w:fill="2D6A4F"/>
            <w:tcMar>
              <w:top w:w="14" w:type="dxa"/>
              <w:start w:w="0" w:type="dxa"/>
              <w:bottom w:w="14" w:type="dxa"/>
              <w:end w:w="0" w:type="dxa"/>
            </w:tcMar>
          </w:tcPr>
          <w:p>
            <w:r/>
          </w:p>
        </w:tc>
      </w:tr>
    </w:tbl>
    <w:p>
      <w:pPr>
        <w:pStyle w:val="Heading2"/>
        <w:spacing w:before="100" w:after="40"/>
      </w:pPr>
      <w:r>
        <w:rPr>
          <w:rFonts w:ascii="Arial" w:hAnsi="Arial" w:eastAsia="Arial"/>
          <w:b/>
          <w:i w:val="0"/>
          <w:color w:val="007C78"/>
          <w:sz w:val="23"/>
        </w:rPr>
        <w:t>Set-up and framing</w:t>
      </w:r>
    </w:p>
    <w:p>
      <w:pPr>
        <w:spacing w:after="40"/>
        <w:ind w:left="216" w:hanging="173"/>
      </w:pPr>
      <w:r>
        <w:rPr>
          <w:rFonts w:ascii="Arial" w:hAnsi="Arial" w:eastAsia="Arial"/>
          <w:b/>
          <w:i w:val="0"/>
          <w:color w:val="007C78"/>
          <w:sz w:val="17"/>
        </w:rPr>
        <w:t xml:space="preserve">- </w:t>
      </w:r>
      <w:r>
        <w:rPr>
          <w:rFonts w:ascii="Arial" w:hAnsi="Arial" w:eastAsia="Arial"/>
          <w:b w:val="0"/>
          <w:i w:val="0"/>
          <w:color w:val="1E2933"/>
          <w:sz w:val="17"/>
        </w:rPr>
        <w:t>State that the source is the frozen internal review as of 14 June 2026; do not introduce legal authorities or describe the reviewed template positions as settled law.</w:t>
      </w:r>
    </w:p>
    <w:p>
      <w:pPr>
        <w:spacing w:after="40"/>
        <w:ind w:left="216" w:hanging="173"/>
      </w:pPr>
      <w:r>
        <w:rPr>
          <w:rFonts w:ascii="Arial" w:hAnsi="Arial" w:eastAsia="Arial"/>
          <w:b/>
          <w:i w:val="0"/>
          <w:color w:val="007C78"/>
          <w:sz w:val="17"/>
        </w:rPr>
        <w:t xml:space="preserve">- </w:t>
      </w:r>
      <w:r>
        <w:rPr>
          <w:rFonts w:ascii="Arial" w:hAnsi="Arial" w:eastAsia="Arial"/>
          <w:b w:val="0"/>
          <w:i w:val="0"/>
          <w:color w:val="1E2933"/>
          <w:sz w:val="17"/>
        </w:rPr>
        <w:t>Keep the working recommendation visible: use the event expressly defined in the signed contract, not a jurisdictional assumption.</w:t>
      </w:r>
    </w:p>
    <w:p>
      <w:pPr>
        <w:spacing w:after="40"/>
        <w:ind w:left="216" w:hanging="173"/>
      </w:pPr>
      <w:r>
        <w:rPr>
          <w:rFonts w:ascii="Arial" w:hAnsi="Arial" w:eastAsia="Arial"/>
          <w:b/>
          <w:i w:val="0"/>
          <w:color w:val="007C78"/>
          <w:sz w:val="17"/>
        </w:rPr>
        <w:t xml:space="preserve">- </w:t>
      </w:r>
      <w:r>
        <w:rPr>
          <w:rFonts w:ascii="Arial" w:hAnsi="Arial" w:eastAsia="Arial"/>
          <w:b w:val="0"/>
          <w:i w:val="0"/>
          <w:color w:val="1E2933"/>
          <w:sz w:val="17"/>
        </w:rPr>
        <w:t>Ask participants to use the terms DISPATCH, RECEIPT, and UNCONFIRMED consistently in their answers.</w:t>
      </w:r>
    </w:p>
    <w:p>
      <w:pPr>
        <w:pStyle w:val="Heading2"/>
        <w:spacing w:before="100" w:after="40"/>
      </w:pPr>
      <w:r>
        <w:rPr>
          <w:rFonts w:ascii="Arial" w:hAnsi="Arial" w:eastAsia="Arial"/>
          <w:b/>
          <w:i w:val="0"/>
          <w:color w:val="007C78"/>
          <w:sz w:val="23"/>
        </w:rPr>
        <w:t>Prompt and answer cue</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3096"/>
            <w:vAlign w:val="center"/>
            <w:tcMar>
              <w:top w:w="85" w:type="dxa"/>
              <w:start w:w="105" w:type="dxa"/>
              <w:bottom w:w="85" w:type="dxa"/>
              <w:end w:w="105" w:type="dxa"/>
            </w:tcMar>
            <w:shd w:fill="2D6A4F"/>
            <w:tcBorders>
              <w:top w:val="single" w:sz="6" w:color="2D6A4F"/>
              <w:left w:val="single" w:sz="6" w:color="2D6A4F"/>
              <w:bottom w:val="single" w:sz="6" w:color="2D6A4F"/>
              <w:right w:val="single" w:sz="6" w:color="2D6A4F"/>
            </w:tcBorders>
          </w:tcPr>
          <w:p>
            <w:pPr>
              <w:spacing w:after="0" w:before="0"/>
            </w:pPr>
            <w:r/>
            <w:r>
              <w:rPr>
                <w:rFonts w:ascii="Arial" w:hAnsi="Arial" w:eastAsia="Arial"/>
                <w:b/>
                <w:i w:val="0"/>
                <w:color w:val="FFFFFF"/>
                <w:sz w:val="15"/>
              </w:rPr>
              <w:t>Ask</w:t>
            </w:r>
          </w:p>
        </w:tc>
        <w:tc>
          <w:tcPr>
            <w:tcW w:type="dxa" w:w="7272"/>
            <w:vAlign w:val="center"/>
            <w:tcMar>
              <w:top w:w="85" w:type="dxa"/>
              <w:start w:w="105" w:type="dxa"/>
              <w:bottom w:w="85" w:type="dxa"/>
              <w:end w:w="105" w:type="dxa"/>
            </w:tcMar>
            <w:shd w:fill="2D6A4F"/>
            <w:tcBorders>
              <w:top w:val="single" w:sz="6" w:color="2D6A4F"/>
              <w:left w:val="single" w:sz="6" w:color="2D6A4F"/>
              <w:bottom w:val="single" w:sz="6" w:color="2D6A4F"/>
              <w:right w:val="single" w:sz="6" w:color="2D6A4F"/>
            </w:tcBorders>
          </w:tcPr>
          <w:p>
            <w:pPr>
              <w:spacing w:after="0" w:before="0"/>
            </w:pPr>
            <w:r/>
            <w:r>
              <w:rPr>
                <w:rFonts w:ascii="Arial" w:hAnsi="Arial" w:eastAsia="Arial"/>
                <w:b/>
                <w:i w:val="0"/>
                <w:color w:val="FFFFFF"/>
                <w:sz w:val="15"/>
              </w:rPr>
              <w:t>A sound response includes</w:t>
            </w:r>
          </w:p>
        </w:tc>
      </w:tr>
      <w:tr>
        <w:tc>
          <w:tcPr>
            <w:tcW w:type="dxa" w:w="3096"/>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What differs between the reviewed England and Scotland templates?</w:t>
            </w:r>
          </w:p>
        </w:tc>
        <w:tc>
          <w:tcPr>
            <w:tcW w:type="dxa" w:w="7272"/>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England's current renewal template expressly uses customer receipt; Scotland's expressly uses dispatch to the carrier. Both remain contract-specific template positions, and the signed wording controls.</w:t>
            </w:r>
          </w:p>
        </w:tc>
      </w:tr>
      <w:tr>
        <w:tc>
          <w:tcPr>
            <w:tcW w:type="dxa" w:w="3096"/>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How do dispatch and receipt differ in practice?</w:t>
            </w:r>
          </w:p>
        </w:tc>
        <w:tc>
          <w:tcPr>
            <w:tcW w:type="dxa" w:w="7272"/>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DISPATCH is handover to the carrier, supported by a carrier collection or handover record. RECEIPT is when the customer takes delivery, supported by signed proof of delivery or a carrier delivery event.</w:t>
            </w:r>
          </w:p>
        </w:tc>
      </w:tr>
      <w:tr>
        <w:tc>
          <w:tcPr>
            <w:tcW w:type="dxa" w:w="3096"/>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What applies through 30 June and from 1 July?</w:t>
            </w:r>
          </w:p>
        </w:tc>
        <w:tc>
          <w:tcPr>
            <w:tcW w:type="dxa" w:w="7272"/>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Legacy agreements remain governed by their signed delivery definition through 30 June 2026. From 1 July 2026, new or renewed agreements use the reviewed contract-defined approach; silent or ambiguous wording remains UNCONFIRMED pending legal review.</w:t>
            </w:r>
          </w:p>
        </w:tc>
      </w:tr>
      <w:tr>
        <w:tc>
          <w:tcPr>
            <w:tcW w:type="dxa" w:w="3096"/>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What should sales do when a customer needs a quick answer but wording is unclear?</w:t>
            </w:r>
          </w:p>
        </w:tc>
        <w:tc>
          <w:tcPr>
            <w:tcW w:type="dxa" w:w="7272"/>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Acknowledge promptly without a date commitment; classify UNCONFIRMED; escalate to Sigrid Almeida by 16:00 the same day. Sales does not interpret unclear wording.</w:t>
            </w:r>
          </w:p>
        </w:tc>
      </w:tr>
    </w:tbl>
    <w:p>
      <w:pPr>
        <w:pStyle w:val="Heading2"/>
        <w:spacing w:before="100" w:after="40"/>
      </w:pPr>
      <w:r>
        <w:rPr>
          <w:rFonts w:ascii="Arial" w:hAnsi="Arial" w:eastAsia="Arial"/>
          <w:b/>
          <w:i w:val="0"/>
          <w:color w:val="007C78"/>
          <w:sz w:val="23"/>
        </w:rPr>
        <w:t>Facilitator notes / questions to revisit</w:t>
      </w:r>
    </w:p>
    <w:tbl>
      <w:tblPr>
        <w:tblW w:type="auto" w:w="0"/>
        <w:jc w:val="center"/>
        <w:tblLayout w:type="fixed"/>
        <w:tblLook w:firstColumn="1" w:firstRow="1" w:lastColumn="0" w:lastRow="0" w:noHBand="0" w:noVBand="1" w:val="04A0"/>
      </w:tblPr>
      <w:tblGrid>
        <w:gridCol w:w="5263"/>
        <w:gridCol w:w="5263"/>
      </w:tblGrid>
      <w:tr>
        <w:tc>
          <w:tcPr>
            <w:tcW w:type="dxa" w:w="2304"/>
            <w:vAlign w:val="center"/>
            <w:tcMar>
              <w:top w:w="85" w:type="dxa"/>
              <w:start w:w="105" w:type="dxa"/>
              <w:bottom w:w="85" w:type="dxa"/>
              <w:end w:w="105" w:type="dxa"/>
            </w:tcMar>
            <w:shd w:fill="2D6A4F"/>
            <w:tcBorders>
              <w:top w:val="single" w:sz="6" w:color="2D6A4F"/>
              <w:left w:val="single" w:sz="6" w:color="2D6A4F"/>
              <w:bottom w:val="single" w:sz="6" w:color="2D6A4F"/>
              <w:right w:val="single" w:sz="6" w:color="2D6A4F"/>
            </w:tcBorders>
          </w:tcPr>
          <w:p>
            <w:pPr>
              <w:spacing w:after="0" w:before="0"/>
            </w:pPr>
            <w:r/>
            <w:r>
              <w:rPr>
                <w:rFonts w:ascii="Arial" w:hAnsi="Arial" w:eastAsia="Arial"/>
                <w:b/>
                <w:i w:val="0"/>
                <w:color w:val="FFFFFF"/>
                <w:sz w:val="16"/>
              </w:rPr>
              <w:t>Note or question</w:t>
            </w:r>
          </w:p>
        </w:tc>
        <w:tc>
          <w:tcPr>
            <w:tcW w:type="dxa" w:w="8063"/>
            <w:vAlign w:val="center"/>
            <w:tcMar>
              <w:top w:w="85" w:type="dxa"/>
              <w:start w:w="105" w:type="dxa"/>
              <w:bottom w:w="85" w:type="dxa"/>
              <w:end w:w="105" w:type="dxa"/>
            </w:tcMar>
            <w:shd w:fill="2D6A4F"/>
            <w:tcBorders>
              <w:top w:val="single" w:sz="6" w:color="2D6A4F"/>
              <w:left w:val="single" w:sz="6" w:color="2D6A4F"/>
              <w:bottom w:val="single" w:sz="6" w:color="2D6A4F"/>
              <w:right w:val="single" w:sz="6" w:color="2D6A4F"/>
            </w:tcBorders>
          </w:tcPr>
          <w:p>
            <w:pPr>
              <w:spacing w:after="0" w:before="0"/>
            </w:pPr>
            <w:r/>
            <w:r>
              <w:rPr>
                <w:rFonts w:ascii="Arial" w:hAnsi="Arial" w:eastAsia="Arial"/>
                <w:b/>
                <w:i w:val="0"/>
                <w:color w:val="FFFFFF"/>
                <w:sz w:val="16"/>
              </w:rPr>
              <w:t>Follow-up / owner</w:t>
            </w:r>
          </w:p>
        </w:tc>
      </w:tr>
      <w:tr>
        <w:trPr>
          <w:trHeight w:val="610" w:hRule="atLeast"/>
        </w:trPr>
        <w:tc>
          <w:tcPr>
            <w:tcW w:type="dxa" w:w="2304"/>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r>
          </w:p>
        </w:tc>
        <w:tc>
          <w:tcPr>
            <w:tcW w:type="dxa" w:w="8063"/>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r>
          </w:p>
        </w:tc>
      </w:tr>
    </w:tbl>
    <w:p>
      <w:r>
        <w:br w:type="page"/>
      </w:r>
    </w:p>
    <w:p>
      <w:pPr>
        <w:spacing w:after="20"/>
      </w:pPr>
      <w:r>
        <w:rPr>
          <w:rFonts w:ascii="Arial" w:hAnsi="Arial" w:eastAsia="Arial"/>
          <w:b/>
          <w:i w:val="0"/>
          <w:color w:val="007C78"/>
          <w:sz w:val="16"/>
        </w:rPr>
        <w:t>EDITABLE FACILITATOR WORKBOOK | 2 OF 3</w:t>
      </w:r>
    </w:p>
    <w:p>
      <w:pPr>
        <w:pStyle w:val="Heading1"/>
        <w:spacing w:before="0" w:after="40"/>
      </w:pPr>
      <w:r>
        <w:rPr>
          <w:rFonts w:ascii="Arial" w:hAnsi="Arial" w:eastAsia="Arial"/>
          <w:b/>
          <w:i w:val="0"/>
          <w:color w:val="17324D"/>
          <w:sz w:val="34"/>
        </w:rPr>
        <w:t>Applied activity: choose the event or the boundary</w:t>
      </w:r>
    </w:p>
    <w:p>
      <w:pPr>
        <w:spacing w:after="100"/>
      </w:pPr>
      <w:r>
        <w:rPr>
          <w:rFonts w:ascii="Arial" w:hAnsi="Arial" w:eastAsia="Arial"/>
          <w:b w:val="0"/>
          <w:i w:val="0"/>
          <w:color w:val="52616B"/>
          <w:sz w:val="19"/>
        </w:rPr>
        <w:t>Ask learners to identify the signed contractual event, evidence, and customer-response boundary. Capture answers in the editable cells.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527"/>
      </w:tblGrid>
      <w:tr>
        <w:tc>
          <w:tcPr>
            <w:tcW w:type="dxa" w:w="10440"/>
            <w:shd w:fill="2D6A4F"/>
            <w:tcMar>
              <w:top w:w="14" w:type="dxa"/>
              <w:start w:w="0" w:type="dxa"/>
              <w:bottom w:w="14" w:type="dxa"/>
              <w:end w:w="0" w:type="dxa"/>
            </w:tcMar>
          </w:tcPr>
          <w:p>
            <w:r/>
          </w:p>
        </w:tc>
      </w:tr>
    </w:tbl>
    <w:tbl>
      <w:tblPr>
        <w:tblW w:type="auto" w:w="0"/>
        <w:jc w:val="center"/>
        <w:tblLayout w:type="fixed"/>
        <w:tblLook w:firstColumn="1" w:firstRow="1" w:lastColumn="0" w:lastRow="0" w:noHBand="0" w:noVBand="1" w:val="04A0"/>
      </w:tblPr>
      <w:tblGrid>
        <w:gridCol w:w="3509"/>
        <w:gridCol w:w="3509"/>
        <w:gridCol w:w="3509"/>
      </w:tblGrid>
      <w:tr>
        <w:tc>
          <w:tcPr>
            <w:tcW w:type="dxa" w:w="1468"/>
            <w:vAlign w:val="center"/>
            <w:tcMar>
              <w:top w:w="85" w:type="dxa"/>
              <w:start w:w="105" w:type="dxa"/>
              <w:bottom w:w="85" w:type="dxa"/>
              <w:end w:w="105" w:type="dxa"/>
            </w:tcMar>
            <w:shd w:fill="2D6A4F"/>
            <w:tcBorders>
              <w:top w:val="single" w:sz="6" w:color="2D6A4F"/>
              <w:left w:val="single" w:sz="6" w:color="2D6A4F"/>
              <w:bottom w:val="single" w:sz="6" w:color="2D6A4F"/>
              <w:right w:val="single" w:sz="6" w:color="2D6A4F"/>
            </w:tcBorders>
          </w:tcPr>
          <w:p>
            <w:pPr>
              <w:spacing w:after="0" w:before="0"/>
            </w:pPr>
            <w:r/>
            <w:r>
              <w:rPr>
                <w:rFonts w:ascii="Arial" w:hAnsi="Arial" w:eastAsia="Arial"/>
                <w:b/>
                <w:i w:val="0"/>
                <w:color w:val="FFFFFF"/>
                <w:sz w:val="15"/>
              </w:rPr>
              <w:t>Case</w:t>
            </w:r>
          </w:p>
        </w:tc>
        <w:tc>
          <w:tcPr>
            <w:tcW w:type="dxa" w:w="5688"/>
            <w:vAlign w:val="center"/>
            <w:tcMar>
              <w:top w:w="85" w:type="dxa"/>
              <w:start w:w="105" w:type="dxa"/>
              <w:bottom w:w="85" w:type="dxa"/>
              <w:end w:w="105" w:type="dxa"/>
            </w:tcMar>
            <w:shd w:fill="2D6A4F"/>
            <w:tcBorders>
              <w:top w:val="single" w:sz="6" w:color="2D6A4F"/>
              <w:left w:val="single" w:sz="6" w:color="2D6A4F"/>
              <w:bottom w:val="single" w:sz="6" w:color="2D6A4F"/>
              <w:right w:val="single" w:sz="6" w:color="2D6A4F"/>
            </w:tcBorders>
          </w:tcPr>
          <w:p>
            <w:pPr>
              <w:spacing w:after="0" w:before="0"/>
            </w:pPr>
            <w:r/>
            <w:r>
              <w:rPr>
                <w:rFonts w:ascii="Arial" w:hAnsi="Arial" w:eastAsia="Arial"/>
                <w:b/>
                <w:i w:val="0"/>
                <w:color w:val="FFFFFF"/>
                <w:sz w:val="15"/>
              </w:rPr>
              <w:t>Prompt</w:t>
            </w:r>
          </w:p>
        </w:tc>
        <w:tc>
          <w:tcPr>
            <w:tcW w:type="dxa" w:w="3211"/>
            <w:vAlign w:val="center"/>
            <w:tcMar>
              <w:top w:w="85" w:type="dxa"/>
              <w:start w:w="105" w:type="dxa"/>
              <w:bottom w:w="85" w:type="dxa"/>
              <w:end w:w="105" w:type="dxa"/>
            </w:tcMar>
            <w:shd w:fill="2D6A4F"/>
            <w:tcBorders>
              <w:top w:val="single" w:sz="6" w:color="2D6A4F"/>
              <w:left w:val="single" w:sz="6" w:color="2D6A4F"/>
              <w:bottom w:val="single" w:sz="6" w:color="2D6A4F"/>
              <w:right w:val="single" w:sz="6" w:color="2D6A4F"/>
            </w:tcBorders>
          </w:tcPr>
          <w:p>
            <w:pPr>
              <w:spacing w:after="0" w:before="0"/>
            </w:pPr>
            <w:r/>
            <w:r>
              <w:rPr>
                <w:rFonts w:ascii="Arial" w:hAnsi="Arial" w:eastAsia="Arial"/>
                <w:b/>
                <w:i w:val="0"/>
                <w:color w:val="FFFFFF"/>
                <w:sz w:val="15"/>
              </w:rPr>
              <w:t>Participant response / facilitator capture</w:t>
            </w:r>
          </w:p>
        </w:tc>
      </w:tr>
      <w:tr>
        <w:trPr>
          <w:trHeight w:val="820" w:hRule="atLeast"/>
        </w:trPr>
        <w:tc>
          <w:tcPr>
            <w:tcW w:type="dxa" w:w="1468"/>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i w:val="0"/>
                <w:color w:val="17324D"/>
                <w:sz w:val="16"/>
              </w:rPr>
              <w:t>A</w:t>
              <w:br/>
              <w:t>England</w:t>
            </w:r>
          </w:p>
        </w:tc>
        <w:tc>
          <w:tcPr>
            <w:tcW w:type="dxa" w:w="5688"/>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A current England renewal agreement's signed clause expressly uses customer receipt. What classification applies, what evidence supports it, and why is jurisdiction not enough on its own?</w:t>
            </w:r>
          </w:p>
        </w:tc>
        <w:tc>
          <w:tcPr>
            <w:tcW w:type="dxa" w:w="3211"/>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r>
          </w:p>
        </w:tc>
      </w:tr>
      <w:tr>
        <w:trPr>
          <w:trHeight w:val="820" w:hRule="atLeast"/>
        </w:trPr>
        <w:tc>
          <w:tcPr>
            <w:tcW w:type="dxa" w:w="1468"/>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i w:val="0"/>
                <w:color w:val="17324D"/>
                <w:sz w:val="16"/>
              </w:rPr>
              <w:t>B</w:t>
              <w:br/>
              <w:t>Scotland</w:t>
            </w:r>
          </w:p>
        </w:tc>
        <w:tc>
          <w:tcPr>
            <w:tcW w:type="dxa" w:w="5688"/>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A current Scotland renewal agreement's signed clause expressly uses dispatch to the carrier. What classification applies, what evidence supports it, and what may sales communicate?</w:t>
            </w:r>
          </w:p>
        </w:tc>
        <w:tc>
          <w:tcPr>
            <w:tcW w:type="dxa" w:w="3211"/>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r>
          </w:p>
        </w:tc>
      </w:tr>
      <w:tr>
        <w:trPr>
          <w:trHeight w:val="820" w:hRule="atLeast"/>
        </w:trPr>
        <w:tc>
          <w:tcPr>
            <w:tcW w:type="dxa" w:w="1468"/>
            <w:vAlign w:val="center"/>
            <w:tcMar>
              <w:top w:w="85" w:type="dxa"/>
              <w:start w:w="105" w:type="dxa"/>
              <w:bottom w:w="85" w:type="dxa"/>
              <w:end w:w="105" w:type="dxa"/>
            </w:tcMar>
            <w:shd w:fill="FBF3E3"/>
            <w:tcBorders>
              <w:top w:val="single" w:sz="5" w:color="B8C6CF"/>
              <w:left w:val="single" w:sz="5" w:color="B8C6CF"/>
              <w:bottom w:val="single" w:sz="5" w:color="B8C6CF"/>
              <w:right w:val="single" w:sz="5" w:color="B8C6CF"/>
            </w:tcBorders>
          </w:tcPr>
          <w:p>
            <w:pPr>
              <w:spacing w:after="0" w:before="0"/>
            </w:pPr>
            <w:r/>
            <w:r>
              <w:rPr>
                <w:rFonts w:ascii="Arial" w:hAnsi="Arial" w:eastAsia="Arial"/>
                <w:b/>
                <w:i w:val="0"/>
                <w:color w:val="17324D"/>
                <w:sz w:val="16"/>
              </w:rPr>
              <w:t>C</w:t>
              <w:br/>
              <w:t>Ambiguous</w:t>
            </w:r>
          </w:p>
        </w:tc>
        <w:tc>
          <w:tcPr>
            <w:tcW w:type="dxa" w:w="5688"/>
            <w:vAlign w:val="center"/>
            <w:tcMar>
              <w:top w:w="85" w:type="dxa"/>
              <w:start w:w="105" w:type="dxa"/>
              <w:bottom w:w="85" w:type="dxa"/>
              <w:end w:w="105" w:type="dxa"/>
            </w:tcMar>
            <w:shd w:fill="FBF3E3"/>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A legacy agreement in either location has silent or conflicting signed wording. A customer asks urgently which delivery date applies. What is the classification, acknowledgement, escalation destination, and deadline?</w:t>
            </w:r>
          </w:p>
        </w:tc>
        <w:tc>
          <w:tcPr>
            <w:tcW w:type="dxa" w:w="3211"/>
            <w:vAlign w:val="center"/>
            <w:tcMar>
              <w:top w:w="85" w:type="dxa"/>
              <w:start w:w="105" w:type="dxa"/>
              <w:bottom w:w="85" w:type="dxa"/>
              <w:end w:w="105" w:type="dxa"/>
            </w:tcMar>
            <w:shd w:fill="FBF3E3"/>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r>
          </w:p>
        </w:tc>
      </w:tr>
    </w:tbl>
    <w:p>
      <w:pPr>
        <w:pStyle w:val="Heading2"/>
        <w:spacing w:before="100" w:after="40"/>
      </w:pPr>
      <w:r>
        <w:rPr>
          <w:rFonts w:ascii="Arial" w:hAnsi="Arial" w:eastAsia="Arial"/>
          <w:b/>
          <w:i w:val="0"/>
          <w:color w:val="007C78"/>
          <w:sz w:val="23"/>
        </w:rPr>
        <w:t>Answer cues after discussion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509"/>
        <w:gridCol w:w="3509"/>
        <w:gridCol w:w="3509"/>
      </w:tblGrid>
      <w:tr>
        <w:tc>
          <w:tcPr>
            <w:tcW w:type="dxa" w:w="3427"/>
            <w:shd w:fill="E7F4F2"/>
            <w:tcBorders>
              <w:top w:val="single" w:sz="6" w:color="E7F4F2"/>
              <w:left w:val="single" w:sz="6" w:color="E7F4F2"/>
              <w:bottom w:val="single" w:sz="6" w:color="E7F4F2"/>
              <w:right w:val="single" w:sz="6" w:color="E7F4F2"/>
            </w:tcBorders>
            <w:tcMar>
              <w:top w:w="100" w:type="dxa"/>
              <w:start w:w="105" w:type="dxa"/>
              <w:bottom w:w="100" w:type="dxa"/>
              <w:end w:w="105" w:type="dxa"/>
            </w:tcMar>
          </w:tcPr>
          <w:p>
            <w:pPr>
              <w:spacing w:after="40" w:before="0"/>
              <w:jc w:val="left"/>
            </w:pPr>
            <w:r/>
            <w:r>
              <w:rPr>
                <w:rFonts w:ascii="Arial" w:hAnsi="Arial" w:eastAsia="Arial"/>
                <w:b/>
                <w:i w:val="0"/>
                <w:color w:val="007C78"/>
                <w:sz w:val="17"/>
              </w:rPr>
              <w:t>A | RECEIPT</w:t>
            </w:r>
          </w:p>
          <w:p>
            <w:pPr>
              <w:spacing w:after="40" w:before="0"/>
              <w:jc w:val="left"/>
            </w:pPr>
            <w:r>
              <w:rPr>
                <w:rFonts w:ascii="Arial" w:hAnsi="Arial" w:eastAsia="Arial"/>
                <w:b w:val="0"/>
                <w:i w:val="0"/>
                <w:color w:val="1E2933"/>
                <w:sz w:val="15"/>
              </w:rPr>
              <w:t>Customer takes delivery; support with signed proof of delivery or carrier delivery event. The signed clause chooses the event.</w:t>
            </w:r>
          </w:p>
        </w:tc>
        <w:tc>
          <w:tcPr>
            <w:tcW w:type="dxa" w:w="3427"/>
            <w:shd w:fill="E9F1F6"/>
            <w:tcBorders>
              <w:top w:val="single" w:sz="6" w:color="E9F1F6"/>
              <w:left w:val="single" w:sz="6" w:color="E9F1F6"/>
              <w:bottom w:val="single" w:sz="6" w:color="E9F1F6"/>
              <w:right w:val="single" w:sz="6" w:color="E9F1F6"/>
            </w:tcBorders>
            <w:tcMar>
              <w:top w:w="100" w:type="dxa"/>
              <w:start w:w="105" w:type="dxa"/>
              <w:bottom w:w="100" w:type="dxa"/>
              <w:end w:w="105" w:type="dxa"/>
            </w:tcMar>
          </w:tcPr>
          <w:p>
            <w:pPr>
              <w:spacing w:after="40" w:before="0"/>
              <w:jc w:val="left"/>
            </w:pPr>
            <w:r/>
            <w:r>
              <w:rPr>
                <w:rFonts w:ascii="Arial" w:hAnsi="Arial" w:eastAsia="Arial"/>
                <w:b/>
                <w:i w:val="0"/>
                <w:color w:val="17324D"/>
                <w:sz w:val="17"/>
              </w:rPr>
              <w:t>B | DISPATCH</w:t>
            </w:r>
          </w:p>
          <w:p>
            <w:pPr>
              <w:spacing w:after="40" w:before="0"/>
              <w:jc w:val="left"/>
            </w:pPr>
            <w:r>
              <w:rPr>
                <w:rFonts w:ascii="Arial" w:hAnsi="Arial" w:eastAsia="Arial"/>
                <w:b w:val="0"/>
                <w:i w:val="0"/>
                <w:color w:val="1E2933"/>
                <w:sz w:val="15"/>
              </w:rPr>
              <w:t>Goods handed to carrier; support with carrier collection or handover record. Sales may communicate the explicit contract-defined event.</w:t>
            </w:r>
          </w:p>
        </w:tc>
        <w:tc>
          <w:tcPr>
            <w:tcW w:type="dxa" w:w="3427"/>
            <w:shd w:fill="FBF3E3"/>
            <w:tcBorders>
              <w:top w:val="single" w:sz="6" w:color="FBF3E3"/>
              <w:left w:val="single" w:sz="6" w:color="FBF3E3"/>
              <w:bottom w:val="single" w:sz="6" w:color="FBF3E3"/>
              <w:right w:val="single" w:sz="6" w:color="FBF3E3"/>
            </w:tcBorders>
            <w:tcMar>
              <w:top w:w="100" w:type="dxa"/>
              <w:start w:w="105" w:type="dxa"/>
              <w:bottom w:w="100" w:type="dxa"/>
              <w:end w:w="105" w:type="dxa"/>
            </w:tcMar>
          </w:tcPr>
          <w:p>
            <w:pPr>
              <w:spacing w:after="40" w:before="0"/>
              <w:jc w:val="left"/>
            </w:pPr>
            <w:r/>
            <w:r>
              <w:rPr>
                <w:rFonts w:ascii="Arial" w:hAnsi="Arial" w:eastAsia="Arial"/>
                <w:b/>
                <w:i w:val="0"/>
                <w:color w:val="B07B18"/>
                <w:sz w:val="17"/>
              </w:rPr>
              <w:t>C | UNCONFIRMED</w:t>
            </w:r>
          </w:p>
          <w:p>
            <w:pPr>
              <w:spacing w:after="40" w:before="0"/>
              <w:jc w:val="left"/>
            </w:pPr>
            <w:r>
              <w:rPr>
                <w:rFonts w:ascii="Arial" w:hAnsi="Arial" w:eastAsia="Arial"/>
                <w:b w:val="0"/>
                <w:i w:val="0"/>
                <w:color w:val="1E2933"/>
                <w:sz w:val="15"/>
              </w:rPr>
              <w:t>Do not choose dispatch or receipt. Acknowledge without a date commitment and escalate to Sigrid Almeida by 16:00 the same day.</w:t>
            </w:r>
          </w:p>
        </w:tc>
      </w:tr>
    </w:tbl>
    <w:p>
      <w:pPr>
        <w:spacing w:after="0" w:line="247" w:lineRule="auto"/>
      </w:pPr>
      <w:r>
        <w:rPr>
          <w:rFonts w:ascii="Arial" w:hAnsi="Arial" w:eastAsia="Arial"/>
          <w:b w:val="0"/>
          <w:i w:val="0"/>
          <w:color w:val="1E2933"/>
          <w:sz w:val="16"/>
        </w:rPr>
        <w:t>Debrief prompt: What changes at the end state? Expected answer: from 1 July 2026, new or renewed agreements use the reviewed contract-defined approach; ambiguity still remains UNCONFIRMED pending legal review.</w:t>
      </w:r>
    </w:p>
    <w:p>
      <w:r>
        <w:br w:type="page"/>
      </w:r>
    </w:p>
    <w:p>
      <w:pPr>
        <w:spacing w:after="20"/>
      </w:pPr>
      <w:r>
        <w:rPr>
          <w:rFonts w:ascii="Arial" w:hAnsi="Arial" w:eastAsia="Arial"/>
          <w:b/>
          <w:i w:val="0"/>
          <w:color w:val="007C78"/>
          <w:sz w:val="16"/>
        </w:rPr>
        <w:t>EDITABLE FACILITATOR WORKBOOK | 3 OF 3</w:t>
      </w:r>
    </w:p>
    <w:p>
      <w:pPr>
        <w:pStyle w:val="Heading1"/>
        <w:spacing w:before="0" w:after="40"/>
      </w:pPr>
      <w:r>
        <w:rPr>
          <w:rFonts w:ascii="Arial" w:hAnsi="Arial" w:eastAsia="Arial"/>
          <w:b/>
          <w:i w:val="0"/>
          <w:color w:val="17324D"/>
          <w:sz w:val="34"/>
        </w:rPr>
        <w:t>Close-out and reusable capture</w:t>
      </w:r>
    </w:p>
    <w:p>
      <w:pPr>
        <w:spacing w:after="100"/>
      </w:pPr>
      <w:r>
        <w:rPr>
          <w:rFonts w:ascii="Arial" w:hAnsi="Arial" w:eastAsia="Arial"/>
          <w:b w:val="0"/>
          <w:i w:val="0"/>
          <w:color w:val="52616B"/>
          <w:sz w:val="19"/>
        </w:rPr>
        <w:t>Use the final discussion to confirm the control, audit reading, and next questions without turning training guidance into legal advice.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527"/>
      </w:tblGrid>
      <w:tr>
        <w:tc>
          <w:tcPr>
            <w:tcW w:type="dxa" w:w="10440"/>
            <w:shd w:fill="2D6A4F"/>
            <w:tcMar>
              <w:top w:w="14" w:type="dxa"/>
              <w:start w:w="0" w:type="dxa"/>
              <w:bottom w:w="14" w:type="dxa"/>
              <w:end w:w="0" w:type="dxa"/>
            </w:tcMar>
          </w:tcPr>
          <w:p>
            <w:r/>
          </w:p>
        </w:tc>
      </w:tr>
    </w:tbl>
    <w:p>
      <w:pPr>
        <w:pStyle w:val="Heading2"/>
        <w:spacing w:before="100" w:after="40"/>
      </w:pPr>
      <w:r>
        <w:rPr>
          <w:rFonts w:ascii="Arial" w:hAnsi="Arial" w:eastAsia="Arial"/>
          <w:b/>
          <w:i w:val="0"/>
          <w:color w:val="007C78"/>
          <w:sz w:val="23"/>
        </w:rPr>
        <w:t>Show-me checklist</w:t>
      </w:r>
    </w:p>
    <w:tbl>
      <w:tblPr>
        <w:tblW w:type="auto" w:w="0"/>
        <w:jc w:val="center"/>
        <w:tblLayout w:type="fixed"/>
        <w:tblLook w:firstColumn="1" w:firstRow="1" w:lastColumn="0" w:lastRow="0" w:noHBand="0" w:noVBand="1" w:val="04A0"/>
      </w:tblPr>
      <w:tblGrid>
        <w:gridCol w:w="5263"/>
        <w:gridCol w:w="5263"/>
      </w:tblGrid>
      <w:tr>
        <w:trPr>
          <w:tblHeader w:val="true"/>
        </w:trPr>
        <w:tc>
          <w:tcPr>
            <w:tcW w:type="dxa" w:w="6480"/>
            <w:vAlign w:val="center"/>
            <w:tcMar>
              <w:top w:w="85" w:type="dxa"/>
              <w:start w:w="105" w:type="dxa"/>
              <w:bottom w:w="85" w:type="dxa"/>
              <w:end w:w="105" w:type="dxa"/>
            </w:tcMar>
            <w:shd w:fill="2D6A4F"/>
            <w:tcBorders>
              <w:top w:val="single" w:sz="6" w:color="2D6A4F"/>
              <w:left w:val="single" w:sz="6" w:color="2D6A4F"/>
              <w:bottom w:val="single" w:sz="6" w:color="2D6A4F"/>
              <w:right w:val="single" w:sz="6" w:color="2D6A4F"/>
            </w:tcBorders>
          </w:tcPr>
          <w:p>
            <w:pPr>
              <w:spacing w:after="0" w:before="0"/>
            </w:pPr>
            <w:r/>
            <w:r>
              <w:rPr>
                <w:rFonts w:ascii="Arial" w:hAnsi="Arial" w:eastAsia="Arial"/>
                <w:b/>
                <w:i w:val="0"/>
                <w:color w:val="FFFFFF"/>
                <w:sz w:val="15"/>
              </w:rPr>
              <w:t>Listen for</w:t>
            </w:r>
          </w:p>
        </w:tc>
        <w:tc>
          <w:tcPr>
            <w:tcW w:type="dxa" w:w="3888"/>
            <w:vAlign w:val="center"/>
            <w:tcMar>
              <w:top w:w="85" w:type="dxa"/>
              <w:start w:w="105" w:type="dxa"/>
              <w:bottom w:w="85" w:type="dxa"/>
              <w:end w:w="105" w:type="dxa"/>
            </w:tcMar>
            <w:shd w:fill="2D6A4F"/>
            <w:tcBorders>
              <w:top w:val="single" w:sz="6" w:color="2D6A4F"/>
              <w:left w:val="single" w:sz="6" w:color="2D6A4F"/>
              <w:bottom w:val="single" w:sz="6" w:color="2D6A4F"/>
              <w:right w:val="single" w:sz="6" w:color="2D6A4F"/>
            </w:tcBorders>
          </w:tcPr>
          <w:p>
            <w:pPr>
              <w:spacing w:after="0" w:before="0"/>
            </w:pPr>
            <w:r/>
            <w:r>
              <w:rPr>
                <w:rFonts w:ascii="Arial" w:hAnsi="Arial" w:eastAsia="Arial"/>
                <w:b/>
                <w:i w:val="0"/>
                <w:color w:val="FFFFFF"/>
                <w:sz w:val="15"/>
              </w:rPr>
              <w:t>Observed / notes</w:t>
            </w:r>
          </w:p>
        </w:tc>
      </w:tr>
      <w:tr>
        <w:trPr>
          <w:trHeight w:val="410" w:hRule="atLeast"/>
        </w:trPr>
        <w:tc>
          <w:tcPr>
            <w:tcW w:type="dxa" w:w="6480"/>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Signed wording checked before a date basis is recorded or communicated.</w:t>
            </w:r>
          </w:p>
        </w:tc>
        <w:tc>
          <w:tcPr>
            <w:tcW w:type="dxa" w:w="3888"/>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r>
          </w:p>
        </w:tc>
      </w:tr>
      <w:tr>
        <w:trPr>
          <w:trHeight w:val="410" w:hRule="atLeast"/>
        </w:trPr>
        <w:tc>
          <w:tcPr>
            <w:tcW w:type="dxa" w:w="6480"/>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Jurisdiction or template context identified, without treating it as a legal default.</w:t>
            </w:r>
          </w:p>
        </w:tc>
        <w:tc>
          <w:tcPr>
            <w:tcW w:type="dxa" w:w="3888"/>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r>
          </w:p>
        </w:tc>
      </w:tr>
      <w:tr>
        <w:trPr>
          <w:trHeight w:val="410" w:hRule="atLeast"/>
        </w:trPr>
        <w:tc>
          <w:tcPr>
            <w:tcW w:type="dxa" w:w="6480"/>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Explicit dispatch clause linked to carrier handover; explicit receipt clause linked to proof of delivery or carrier delivery event.</w:t>
            </w:r>
          </w:p>
        </w:tc>
        <w:tc>
          <w:tcPr>
            <w:tcW w:type="dxa" w:w="3888"/>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r>
          </w:p>
        </w:tc>
      </w:tr>
      <w:tr>
        <w:trPr>
          <w:trHeight w:val="410" w:hRule="atLeast"/>
        </w:trPr>
        <w:tc>
          <w:tcPr>
            <w:tcW w:type="dxa" w:w="6480"/>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Silent, conflicting, or ambiguous wording classified UNCONFIRMED and routed to legal.</w:t>
            </w:r>
          </w:p>
        </w:tc>
        <w:tc>
          <w:tcPr>
            <w:tcW w:type="dxa" w:w="3888"/>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r>
          </w:p>
        </w:tc>
      </w:tr>
      <w:tr>
        <w:trPr>
          <w:trHeight w:val="410" w:hRule="atLeast"/>
        </w:trPr>
        <w:tc>
          <w:tcPr>
            <w:tcW w:type="dxa" w:w="6480"/>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t>Transition through 30 June 2026 and end state from 1 July 2026 distinguished.</w:t>
            </w:r>
          </w:p>
        </w:tc>
        <w:tc>
          <w:tcPr>
            <w:tcW w:type="dxa" w:w="3888"/>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5"/>
              </w:rPr>
            </w:r>
          </w:p>
        </w:tc>
      </w:tr>
    </w:tbl>
    <w:p>
      <w:pPr>
        <w:pStyle w:val="Heading2"/>
        <w:spacing w:before="100" w:after="40"/>
      </w:pPr>
      <w:r>
        <w:rPr>
          <w:rFonts w:ascii="Arial" w:hAnsi="Arial" w:eastAsia="Arial"/>
          <w:b/>
          <w:i w:val="0"/>
          <w:color w:val="007C78"/>
          <w:sz w:val="23"/>
        </w:rPr>
        <w:t>Audit reading cue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263"/>
        <w:gridCol w:w="5263"/>
      </w:tblGrid>
      <w:tr>
        <w:tc>
          <w:tcPr>
            <w:tcW w:type="dxa" w:w="1800"/>
            <w:shd w:fill="B6503C"/>
            <w:tcBorders>
              <w:top w:val="single" w:sz="6" w:color="B6503C"/>
              <w:left w:val="single" w:sz="6" w:color="B6503C"/>
              <w:bottom w:val="single" w:sz="6" w:color="B6503C"/>
              <w:right w:val="single" w:sz="6" w:color="B6503C"/>
            </w:tcBorders>
            <w:tcMar>
              <w:top w:w="100" w:type="dxa"/>
              <w:start w:w="105" w:type="dxa"/>
              <w:bottom w:w="100" w:type="dxa"/>
              <w:end w:w="105" w:type="dxa"/>
            </w:tcMar>
          </w:tcPr>
          <w:p>
            <w:pPr>
              <w:spacing w:after="40" w:before="0"/>
              <w:jc w:val="center"/>
            </w:pPr>
            <w:r/>
            <w:r>
              <w:rPr>
                <w:rFonts w:ascii="Arial" w:hAnsi="Arial" w:eastAsia="Arial"/>
                <w:b/>
                <w:i w:val="0"/>
                <w:color w:val="FFFFFF"/>
                <w:sz w:val="16"/>
              </w:rPr>
              <w:t>COMPARE</w:t>
            </w:r>
          </w:p>
        </w:tc>
        <w:tc>
          <w:tcPr>
            <w:tcW w:type="dxa" w:w="8640"/>
            <w:shd w:fill="F8ECE8"/>
            <w:tcBorders>
              <w:top w:val="single" w:sz="6" w:color="F8ECE8"/>
              <w:left w:val="single" w:sz="6" w:color="F8ECE8"/>
              <w:bottom w:val="single" w:sz="6" w:color="F8ECE8"/>
              <w:right w:val="single" w:sz="6" w:color="F8ECE8"/>
            </w:tcBorders>
            <w:tcMar>
              <w:top w:w="100" w:type="dxa"/>
              <w:start w:w="105" w:type="dxa"/>
              <w:bottom w:w="100" w:type="dxa"/>
              <w:end w:w="105" w:type="dxa"/>
            </w:tcMar>
          </w:tcPr>
          <w:p>
            <w:pPr>
              <w:spacing w:after="40" w:before="0"/>
              <w:jc w:val="left"/>
            </w:pPr>
            <w:r/>
            <w:r>
              <w:rPr>
                <w:rFonts w:ascii="Arial" w:hAnsi="Arial" w:eastAsia="Arial"/>
                <w:b w:val="0"/>
                <w:i w:val="0"/>
                <w:color w:val="1E2933"/>
                <w:sz w:val="17"/>
              </w:rPr>
              <w:t>April combined: 24 RECEIPT, 11 DISPATCH, 5 UNCONFIRMED (40 total). May combined: 29 RECEIPT, 7 DISPATCH, 4 UNCONFIRMED (40 total). State the internal classification shift, not a change in law.</w:t>
            </w:r>
          </w:p>
        </w:tc>
      </w:tr>
    </w:tbl>
    <w:p>
      <w:pPr>
        <w:pStyle w:val="Heading2"/>
        <w:spacing w:before="100" w:after="40"/>
      </w:pPr>
      <w:r>
        <w:rPr>
          <w:rFonts w:ascii="Arial" w:hAnsi="Arial" w:eastAsia="Arial"/>
          <w:b/>
          <w:i w:val="0"/>
          <w:color w:val="007C78"/>
          <w:sz w:val="23"/>
        </w:rPr>
        <w:t>Questions and follow-up capture</w:t>
      </w:r>
    </w:p>
    <w:tbl>
      <w:tblPr>
        <w:tblW w:type="auto" w:w="0"/>
        <w:jc w:val="center"/>
        <w:tblLayout w:type="fixed"/>
        <w:tblLook w:firstColumn="1" w:firstRow="1" w:lastColumn="0" w:lastRow="0" w:noHBand="0" w:noVBand="1" w:val="04A0"/>
      </w:tblPr>
      <w:tblGrid>
        <w:gridCol w:w="3509"/>
        <w:gridCol w:w="3509"/>
        <w:gridCol w:w="3509"/>
      </w:tblGrid>
      <w:tr>
        <w:tc>
          <w:tcPr>
            <w:tcW w:type="dxa" w:w="4824"/>
            <w:vAlign w:val="center"/>
            <w:tcMar>
              <w:top w:w="85" w:type="dxa"/>
              <w:start w:w="105" w:type="dxa"/>
              <w:bottom w:w="85" w:type="dxa"/>
              <w:end w:w="105" w:type="dxa"/>
            </w:tcMar>
            <w:shd w:fill="2D6A4F"/>
            <w:tcBorders>
              <w:top w:val="single" w:sz="6" w:color="2D6A4F"/>
              <w:left w:val="single" w:sz="6" w:color="2D6A4F"/>
              <w:bottom w:val="single" w:sz="6" w:color="2D6A4F"/>
              <w:right w:val="single" w:sz="6" w:color="2D6A4F"/>
            </w:tcBorders>
          </w:tcPr>
          <w:p>
            <w:pPr>
              <w:spacing w:after="0" w:before="0"/>
            </w:pPr>
            <w:r/>
            <w:r>
              <w:rPr>
                <w:rFonts w:ascii="Arial" w:hAnsi="Arial" w:eastAsia="Arial"/>
                <w:b/>
                <w:i w:val="0"/>
                <w:color w:val="FFFFFF"/>
                <w:sz w:val="15"/>
              </w:rPr>
              <w:t>Question / issue</w:t>
            </w:r>
          </w:p>
        </w:tc>
        <w:tc>
          <w:tcPr>
            <w:tcW w:type="dxa" w:w="2520"/>
            <w:vAlign w:val="center"/>
            <w:tcMar>
              <w:top w:w="85" w:type="dxa"/>
              <w:start w:w="105" w:type="dxa"/>
              <w:bottom w:w="85" w:type="dxa"/>
              <w:end w:w="105" w:type="dxa"/>
            </w:tcMar>
            <w:shd w:fill="2D6A4F"/>
            <w:tcBorders>
              <w:top w:val="single" w:sz="6" w:color="2D6A4F"/>
              <w:left w:val="single" w:sz="6" w:color="2D6A4F"/>
              <w:bottom w:val="single" w:sz="6" w:color="2D6A4F"/>
              <w:right w:val="single" w:sz="6" w:color="2D6A4F"/>
            </w:tcBorders>
          </w:tcPr>
          <w:p>
            <w:pPr>
              <w:spacing w:after="0" w:before="0"/>
            </w:pPr>
            <w:r/>
            <w:r>
              <w:rPr>
                <w:rFonts w:ascii="Arial" w:hAnsi="Arial" w:eastAsia="Arial"/>
                <w:b/>
                <w:i w:val="0"/>
                <w:color w:val="FFFFFF"/>
                <w:sz w:val="15"/>
              </w:rPr>
              <w:t>Route or owner</w:t>
            </w:r>
          </w:p>
        </w:tc>
        <w:tc>
          <w:tcPr>
            <w:tcW w:type="dxa" w:w="3024"/>
            <w:vAlign w:val="center"/>
            <w:tcMar>
              <w:top w:w="85" w:type="dxa"/>
              <w:start w:w="105" w:type="dxa"/>
              <w:bottom w:w="85" w:type="dxa"/>
              <w:end w:w="105" w:type="dxa"/>
            </w:tcMar>
            <w:shd w:fill="2D6A4F"/>
            <w:tcBorders>
              <w:top w:val="single" w:sz="6" w:color="2D6A4F"/>
              <w:left w:val="single" w:sz="6" w:color="2D6A4F"/>
              <w:bottom w:val="single" w:sz="6" w:color="2D6A4F"/>
              <w:right w:val="single" w:sz="6" w:color="2D6A4F"/>
            </w:tcBorders>
          </w:tcPr>
          <w:p>
            <w:pPr>
              <w:spacing w:after="0" w:before="0"/>
            </w:pPr>
            <w:r/>
            <w:r>
              <w:rPr>
                <w:rFonts w:ascii="Arial" w:hAnsi="Arial" w:eastAsia="Arial"/>
                <w:b/>
                <w:i w:val="0"/>
                <w:color w:val="FFFFFF"/>
                <w:sz w:val="15"/>
              </w:rPr>
              <w:t>Follow-up capture</w:t>
            </w:r>
          </w:p>
        </w:tc>
      </w:tr>
      <w:tr>
        <w:trPr>
          <w:trHeight w:val="540" w:hRule="atLeast"/>
        </w:trPr>
        <w:tc>
          <w:tcPr>
            <w:tcW w:type="dxa" w:w="4824"/>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r>
          </w:p>
        </w:tc>
        <w:tc>
          <w:tcPr>
            <w:tcW w:type="dxa" w:w="2520"/>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r>
          </w:p>
        </w:tc>
        <w:tc>
          <w:tcPr>
            <w:tcW w:type="dxa" w:w="3024"/>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r>
          </w:p>
        </w:tc>
      </w:tr>
      <w:tr>
        <w:trPr>
          <w:trHeight w:val="540" w:hRule="atLeast"/>
        </w:trPr>
        <w:tc>
          <w:tcPr>
            <w:tcW w:type="dxa" w:w="4824"/>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r>
          </w:p>
        </w:tc>
        <w:tc>
          <w:tcPr>
            <w:tcW w:type="dxa" w:w="2520"/>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r>
          </w:p>
        </w:tc>
        <w:tc>
          <w:tcPr>
            <w:tcW w:type="dxa" w:w="3024"/>
            <w:vAlign w:val="center"/>
            <w:tcMar>
              <w:top w:w="85" w:type="dxa"/>
              <w:start w:w="105" w:type="dxa"/>
              <w:bottom w:w="85" w:type="dxa"/>
              <w:end w:w="105" w:type="dxa"/>
            </w:tcMar>
            <w:shd w:fill="FFFFFF"/>
            <w:tcBorders>
              <w:top w:val="single" w:sz="5" w:color="B8C6CF"/>
              <w:left w:val="single" w:sz="5" w:color="B8C6CF"/>
              <w:bottom w:val="single" w:sz="5" w:color="B8C6CF"/>
              <w:right w:val="single" w:sz="5" w:color="B8C6CF"/>
            </w:tcBorders>
          </w:tcPr>
          <w:p>
            <w:pPr>
              <w:spacing w:after="0" w:before="0"/>
            </w:pPr>
            <w:r/>
            <w:r>
              <w:rPr>
                <w:rFonts w:ascii="Arial" w:hAnsi="Arial" w:eastAsia="Arial"/>
                <w:b w:val="0"/>
                <w:i w:val="0"/>
                <w:color w:val="1E2933"/>
                <w:sz w:val="16"/>
              </w:rPr>
            </w:r>
          </w:p>
        </w:tc>
      </w:tr>
    </w:tbl>
    <w:p>
      <w:pPr>
        <w:spacing w:after="0" w:line="247" w:lineRule="auto"/>
      </w:pPr>
      <w:r>
        <w:rPr>
          <w:rFonts w:ascii="Arial" w:hAnsi="Arial" w:eastAsia="Arial"/>
          <w:b w:val="0"/>
          <w:i w:val="0"/>
          <w:color w:val="52616B"/>
          <w:sz w:val="15"/>
        </w:rPr>
        <w:t>Facilitator source note: eldergrove_delivery_date_legal_review.pdf, frozen internal review as of 14 June 2026. Escalation questions on contractual ambiguity belong with Sigrid Almeida.</w:t>
      </w:r>
    </w:p>
    <w:sectPr w:rsidR="00FC693F" w:rsidRPr="0006063C" w:rsidSect="00034616">
      <w:headerReference w:type="default" r:id="rId9"/>
      <w:footerReference w:type="default" r:id="rId10"/>
      <w:pgSz w:w="11909" w:h="16834"/>
      <w:pgMar w:top="605" w:right="691" w:bottom="619" w:left="691" w:header="288"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Pr>
        <w:rFonts w:ascii="Arial" w:hAnsi="Arial" w:eastAsia="Arial"/>
        <w:b w:val="0"/>
        <w:i w:val="0"/>
        <w:color w:val="52616B"/>
        <w:sz w:val="14"/>
      </w:rPr>
      <w:t xml:space="preserve">Delivery-date renewal workshop pack  |  Frozen review as of 14 June 2026  |  </w:t>
    </w:r>
    <w:r>
      <w:rPr>
        <w:rFonts w:ascii="Arial" w:hAnsi="Arial"/>
        <w:color w:val="52616B"/>
        <w:sz w:val="14"/>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i w:val="0"/>
        <w:color w:val="52616B"/>
        <w:sz w:val="15"/>
      </w:rPr>
      <w:t>FLINTRIDGE ENGINEERING  |  ELDERGROVE PARTNERS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Arial" w:hAnsi="Arial" w:eastAsia="Arial"/>
      <w:color w:val="1E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60"/>
      <w:outlineLvl w:val="0"/>
    </w:pPr>
    <w:rPr>
      <w:rFonts w:asciiTheme="majorHAnsi" w:eastAsiaTheme="majorEastAsia" w:hAnsiTheme="majorHAnsi" w:cstheme="majorBidi" w:ascii="Arial" w:hAnsi="Arial" w:eastAsia="Arial"/>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ascii="Arial" w:hAnsi="Arial" w:eastAsia="Arial"/>
      <w:b/>
      <w:bCs/>
      <w:color w:val="007C78"/>
      <w:sz w:val="23"/>
      <w:szCs w:val="26"/>
    </w:rPr>
  </w:style>
  <w:style w:type="paragraph" w:styleId="Heading3">
    <w:name w:val="heading 3"/>
    <w:basedOn w:val="Normal"/>
    <w:next w:val="Normal"/>
    <w:link w:val="Heading3Char"/>
    <w:uiPriority w:val="9"/>
    <w:unhideWhenUsed/>
    <w:qFormat/>
    <w:rsid w:val="00FC693F"/>
    <w:pPr>
      <w:keepNext/>
      <w:keepLines/>
      <w:spacing w:before="80" w:after="60"/>
      <w:outlineLvl w:val="2"/>
    </w:pPr>
    <w:rPr>
      <w:rFonts w:asciiTheme="majorHAnsi" w:eastAsiaTheme="majorEastAsia" w:hAnsiTheme="majorHAnsi" w:cstheme="majorBidi" w:ascii="Arial" w:hAnsi="Arial" w:eastAsia="Arial"/>
      <w:b/>
      <w:bCs/>
      <w:color w:val="17324D"/>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80"/>
      <w:contextualSpacing/>
    </w:pPr>
    <w:rPr>
      <w:rFonts w:asciiTheme="majorHAnsi" w:eastAsiaTheme="majorEastAsia" w:hAnsiTheme="majorHAnsi" w:cstheme="majorBidi" w:ascii="Arial" w:hAnsi="Arial" w:eastAsia="Arial"/>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Eldergrove Delivery Date Training Pack</dc:title>
  <dc:subject>Contract-renewal workshop training and facilitator workbook</dc:subject>
  <dc:creator>Flintridge Engineering</dc:creator>
  <cp:keywords>delivery date, renewal workshop, England, Scotland, facilitator workbook</cp:keywords>
  <dc:description>generated by python-docx</dc:description>
  <cp:lastModifiedBy/>
  <cp:revision>1</cp:revision>
  <dcterms:created xsi:type="dcterms:W3CDTF">2013-12-23T23:15:00Z</dcterms:created>
  <dcterms:modified xsi:type="dcterms:W3CDTF">2013-12-23T23:15:00Z</dcterms:modified>
  <cp:category/>
</cp:coreProperties>
</file>