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Wardenby waste collections: what changes, when and what is still undecided</w:t>
      </w:r>
    </w:p>
    <w:p>
      <w:r>
        <w:rPr>
          <w:i/>
        </w:rPr>
        <w:t>A county contract variation has been adopted. Most kerbside homes will see different collection frequencies and new food and garden services from June; some details and one property group remain unresolved.</w:t>
      </w:r>
    </w:p>
    <w:p>
      <w:pPr>
        <w:spacing w:after="100"/>
      </w:pPr>
      <w:r>
        <w:t>Wardenby County Cabinet adopted a variation to its household-waste contract with Wardenby Manufacturing on 10 March 2025. That settles the broad service design, but not every practical detail residents will need. The change affects what goes out at the kerb, how often it is collected and which properties are covered.</w:t>
      </w:r>
    </w:p>
    <w:p>
      <w:pPr>
        <w:pStyle w:val="Heading1"/>
        <w:spacing w:before="160" w:after="60"/>
      </w:pPr>
      <w:r>
        <w:t>What changes for most houses?</w:t>
      </w:r>
    </w:p>
    <w:p>
      <w:pPr>
        <w:spacing w:after="100"/>
      </w:pPr>
      <w:r>
        <w:t>For 78,600 standard kerbside homes, the new pattern starts on 1 June 2025. Residual waste in the 180-litre wheeled bin moves from weekly to fortnightly. The 240-litre mixed-recycling bin moves from fortnightly to weekly. A separate food caddy is collected weekly, and the previously optional paid garden service becomes a fortnightly April-to-November service included in the contract.</w:t>
      </w:r>
    </w:p>
    <w:p>
      <w:pPr>
        <w:spacing w:after="100"/>
      </w:pPr>
      <w:r>
        <w:t>The county’s current arrangement, covering the contract year to 31 March 2025, has no separate food collection: food goes in residual waste. Garden collections are a separate paid subscription. The existing presentation rules remain important: containers go at the property boundary by 6am, lids closed, with no side waste.</w:t>
      </w:r>
    </w:p>
    <w:p>
      <w:pPr>
        <w:pStyle w:val="Heading1"/>
        <w:spacing w:before="160" w:after="60"/>
      </w:pPr>
      <w:r>
        <w:t>Not every property has the same timetable</w:t>
      </w:r>
    </w:p>
    <w:p>
      <w:pPr>
        <w:spacing w:after="100"/>
      </w:pPr>
      <w:r>
        <w:t>The 5,800 rural or difficult-access homes on assisted or remote rounds move on 1 September 2025. Their residual and mixed-recycling collections become every three weeks, while a weekly food-caddy service is planned where the round is vehicle-accessible. Assisted presentation remains available.</w:t>
      </w:r>
    </w:p>
    <w:p>
      <w:pPr>
        <w:spacing w:after="100"/>
      </w:pPr>
      <w:r>
        <w:t>Communal flats, about 2,000 properties, stay on their existing communal residual and recycling pattern for now. Their food-caddy eligibility, storage and collection method are still being assessed, and no start date was adopted for that service. The new pattern is therefore not a single universal experience.</w:t>
      </w:r>
    </w:p>
    <w:p>
      <w:pPr>
        <w:pStyle w:val="Heading1"/>
        <w:spacing w:before="160" w:after="60"/>
      </w:pPr>
      <w:r>
        <w:t>What is the argument about the money?</w:t>
      </w:r>
    </w:p>
    <w:p>
      <w:pPr>
        <w:spacing w:after="100"/>
      </w:pPr>
      <w:r>
        <w:t>The current annual contract price is £8.64 million for 86,400 occupied homes and residual and mixed-recycling collections. The reorganised price is £10.80 million for 90,000 properties and also includes food collection and scheduled garden service. The extra £2.16 million is a difference between contract totals, not a household bill.</w:t>
      </w:r>
    </w:p>
    <w:p>
      <w:pPr>
        <w:spacing w:after="100"/>
      </w:pPr>
      <w:r>
        <w:t>The opposition group describes this as residents paying 20% more for less frequent collections. Its arithmetic divides each contract total by its period household base: £100 per current home and £120 per reorganised property. That shortcut is useful for showing the groups’ competing claims, but it is not a like-for-like verdict here: both the service bundle and the household denominator change.</w:t>
      </w:r>
    </w:p>
    <w:p>
      <w:pPr>
        <w:spacing w:after="100"/>
      </w:pPr>
      <w:r>
        <w:t>County officers’ narrower analysis compares the same 86,400-home base and only the residual and mixed-recycling scope. It estimates £7.78 million under the new design, about £90 per home versus £100 currently, or roughly 10% lower. That is an analytical estimate, not a separate contract price, and it does not show that every household will pay less. Once food, garden service, additional properties or different rural frequencies are included, the simple per-household quotient stops being a reliable comparison.</w:t>
      </w:r>
    </w:p>
    <w:p>
      <w:pPr>
        <w:spacing w:after="100"/>
      </w:pPr>
      <w:r>
        <w:t>The administration group calls the £2.16 million difference between annual totals an “investment” and says the change is “modernisation, not a cut”. The adopted business case projects an 18% reduction in residual tonnage in the first full year; that is a projection, not a measured result. These are attributed positions, not Lanternwood conclusions.</w:t>
      </w:r>
    </w:p>
    <w:p>
      <w:pPr>
        <w:pStyle w:val="Heading1"/>
        <w:spacing w:before="160" w:after="60"/>
      </w:pPr>
      <w:r>
        <w:t>What is settled, and what is pending?</w:t>
      </w:r>
    </w:p>
    <w:p>
      <w:pPr>
        <w:spacing w:after="100"/>
      </w:pPr>
      <w:r>
        <w:t>Settled: the Cabinet decision, the three property cohorts, the service frequencies described above and the two effective dates. Pending at the 14 March 2025 information cut-off: exact collection-day calendars; bin-lid colours and the replacement timetable; the food-caddy liner standard for each cohort; communal-flat food arrangements; and the transition process for assisted collections. Residents should not treat those details as final until the county publishes them.</w:t>
      </w:r>
    </w:p>
    <w:p>
      <w:pPr>
        <w:spacing w:after="100"/>
      </w:pPr>
      <w:r>
        <w:t>Food caddies may be lined with newspaper or a county-approved compostable liner. Plastic carrier bags are not permitted. The county’s current rules otherwise require closed lids, no side waste and presentation by 6am; future implementation guidance may add practical instructions.</w:t>
      </w:r>
    </w:p>
    <w:p>
      <w:pPr>
        <w:spacing w:before="160"/>
      </w:pPr>
      <w:r>
        <w:rPr>
          <w:i/>
          <w:color w:val="505050"/>
          <w:sz w:val="16"/>
        </w:rPr>
        <w:t>Source note: adopted county decision and service specification; current-service and period-comparison figures; attributed group statements; implementation register; and Wardenby County rules in force at 14 March 2025. Information cut-off: 14 March 2025.</w:t>
      </w:r>
    </w:p>
    <w:sectPr w:rsidR="00FC693F" w:rsidRPr="0006063C" w:rsidSect="00034616">
      <w:head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E7A"/>
        <w:sz w:val="16"/>
      </w:rPr>
      <w:t>LANTERNWOOD MEDIA  |  RESIDENT EXPLAINER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7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7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7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