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1F4E79"/>
          <w:sz w:val="36"/>
        </w:rPr>
        <w:t>Territory Transition Operating Plan</w:t>
      </w:r>
    </w:p>
    <w:p>
      <w:pPr>
        <w:spacing w:after="100"/>
      </w:pPr>
      <w:r>
        <w:rPr>
          <w:i/>
          <w:color w:val="5A5A5A"/>
          <w:sz w:val="17"/>
        </w:rPr>
        <w:t>For Dale Prendergast and senior leadership | Decision owner: Ivy Marchbanks | Effective in P11</w:t>
      </w:r>
    </w:p>
    <w:p>
      <w:pPr>
        <w:spacing w:before="100" w:after="40"/>
      </w:pPr>
      <w:r>
        <w:rPr>
          <w:rFonts w:ascii="Aptos Display" w:hAnsi="Aptos Display"/>
          <w:b/>
          <w:color w:val="1F4E79"/>
          <w:sz w:val="24"/>
        </w:rPr>
        <w:t>Decision and candid impact</w:t>
      </w:r>
    </w:p>
    <w:p>
      <w:pPr>
        <w:spacing w:after="40" w:line="240" w:lineRule="auto"/>
      </w:pPr>
      <w:r>
        <w:rPr>
          <w:rFonts w:ascii="Aptos" w:hAnsi="Aptos"/>
          <w:sz w:val="16"/>
        </w:rPr>
        <w:t>Quimby Irrigation Supply will move exactly 31 distinct commercial-landscape accounts from Dale Prendergast’s field book to the inside-sales desk in the roster-assigned P11 waves: 04, 11, and 18 Nov 2026. This concentrates the commercial-landscape segment in the desk’s new scope; Dale retains the non-commercial-landscape field book (24 distinct retained accounts shown in the source roster). The operating gain and the loss are inseparable: the desk gains a focused commercial-landscape book, while Dale’s FY26-through-P10 commission baseline loses the transferred-book credit under the current terms.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28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FY26 through P10 commission view</w:t>
            </w:r>
          </w:p>
        </w:tc>
        <w:tc>
          <w:tcPr>
            <w:tcW w:type="dxa" w:w="1656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Amount</w:t>
            </w:r>
          </w:p>
        </w:tc>
        <w:tc>
          <w:tcPr>
            <w:tcW w:type="dxa" w:w="6768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35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5"/>
              </w:rPr>
              <w:t>Dale field-book baseline</w:t>
            </w:r>
          </w:p>
        </w:tc>
        <w:tc>
          <w:tcPr>
            <w:tcW w:type="dxa" w:w="16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5"/>
              </w:rPr>
              <w:t>$234,296</w:t>
            </w:r>
          </w:p>
        </w:tc>
        <w:tc>
          <w:tcPr>
            <w:tcW w:type="dxa" w:w="67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5"/>
              </w:rPr>
              <w:t>4.00% of $5,857,400 commissionable sales</w:t>
            </w:r>
          </w:p>
        </w:tc>
      </w:tr>
      <w:tr>
        <w:tc>
          <w:tcPr>
            <w:tcW w:type="dxa" w:w="35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5"/>
              </w:rPr>
              <w:t>31 transferred accounts</w:t>
            </w:r>
          </w:p>
        </w:tc>
        <w:tc>
          <w:tcPr>
            <w:tcW w:type="dxa" w:w="16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5"/>
              </w:rPr>
              <w:t>$44,810</w:t>
            </w:r>
          </w:p>
        </w:tc>
        <w:tc>
          <w:tcPr>
            <w:tcW w:type="dxa" w:w="67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5"/>
              </w:rPr>
              <w:t>4.00% of ${moved_sales:,.0f} transferred-book sales</w:t>
            </w:r>
          </w:p>
        </w:tc>
      </w:tr>
      <w:tr>
        <w:tc>
          <w:tcPr>
            <w:tcW w:type="dxa" w:w="35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5"/>
              </w:rPr>
              <w:t>Resulting commission impact</w:t>
            </w:r>
          </w:p>
        </w:tc>
        <w:tc>
          <w:tcPr>
            <w:tcW w:type="dxa" w:w="16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5"/>
              </w:rPr>
              <w:t>−$44,810</w:t>
            </w:r>
          </w:p>
        </w:tc>
        <w:tc>
          <w:tcPr>
            <w:tcW w:type="dxa" w:w="67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5"/>
              </w:rPr>
              <w:t>Credit ends at each account’s assigned P11 move</w:t>
            </w:r>
          </w:p>
        </w:tc>
      </w:tr>
      <w:tr>
        <w:tc>
          <w:tcPr>
            <w:tcW w:type="dxa" w:w="35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5"/>
              </w:rPr>
              <w:t>Illustrative remaining baseline</w:t>
            </w:r>
          </w:p>
        </w:tc>
        <w:tc>
          <w:tcPr>
            <w:tcW w:type="dxa" w:w="16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5"/>
              </w:rPr>
              <w:t>$189,486</w:t>
            </w:r>
          </w:p>
        </w:tc>
        <w:tc>
          <w:tcPr>
            <w:tcW w:type="dxa" w:w="67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5"/>
              </w:rPr>
              <w:t>Baseline less transferred-book effect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sz w:val="15"/>
        </w:rPr>
        <w:t>These are source-supported FY26-through-P10 figures, not a forecast of Dale’s future income or a change to compensation terms. Payroll / Commissions Lead will walk Dale through the account-level calculation and current terms; this plan does not promise retained credit, income, or account ownership.</w:t>
      </w:r>
    </w:p>
    <w:p>
      <w:pPr>
        <w:spacing w:before="100" w:after="40"/>
      </w:pPr>
      <w:r>
        <w:rPr>
          <w:rFonts w:ascii="Aptos Display" w:hAnsi="Aptos Display"/>
          <w:b/>
          <w:color w:val="1F4E79"/>
          <w:sz w:val="24"/>
        </w:rPr>
        <w:t>Operating controls: what must happen vs. what should follow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736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4"/>
              </w:rPr>
              <w:t>Boundary</w:t>
            </w:r>
          </w:p>
        </w:tc>
        <w:tc>
          <w:tcPr>
            <w:tcW w:type="dxa" w:w="9216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4"/>
              </w:rPr>
              <w:t>Control</w:t>
            </w:r>
          </w:p>
        </w:tc>
      </w:tr>
      <w:tr>
        <w:tc>
          <w:tcPr>
            <w:tcW w:type="dxa" w:w="27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MUST — before each assigned wave</w:t>
            </w:r>
          </w:p>
        </w:tc>
        <w:tc>
          <w:tcPr>
            <w:tcW w:type="dxa" w:w="9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Sales Operations Manager confirms the roster; Inside-Sales Desk Manager accepts each account; handoff record carries open work and customer context; customer receives the named desk contact at or before that wave.</w:t>
            </w:r>
          </w:p>
        </w:tc>
      </w:tr>
      <w:tr>
        <w:tc>
          <w:tcPr>
            <w:tcW w:type="dxa" w:w="27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MUST — continuity-sensitive accounts</w:t>
            </w:r>
          </w:p>
        </w:tc>
        <w:tc>
          <w:tcPr>
            <w:tcW w:type="dxa" w:w="9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For any active opportunity, open commitment, open order, or open renewal, Dale and the receiving desk complete a joint review of the flagged item before that account’s wave.</w:t>
            </w:r>
          </w:p>
        </w:tc>
      </w:tr>
      <w:tr>
        <w:tc>
          <w:tcPr>
            <w:tcW w:type="dxa" w:w="27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MUST — capacity fallback</w:t>
            </w:r>
          </w:p>
        </w:tc>
        <w:tc>
          <w:tcPr>
            <w:tcW w:type="dxa" w:w="9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Only 12 pre-effective readiness sessions are available; assign them first to the flagged accounts. For other accounts, the accepted handoff record is the minimum and Dale remains available during transition for context—not full pre-transfer shadowing.</w:t>
            </w:r>
          </w:p>
        </w:tc>
      </w:tr>
      <w:tr>
        <w:tc>
          <w:tcPr>
            <w:tcW w:type="dxa" w:w="27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SHOULD — after transfer</w:t>
            </w:r>
          </w:p>
        </w:tc>
        <w:tc>
          <w:tcPr>
            <w:tcW w:type="dxa" w:w="9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The desk may deepen relationship history and pursue additional joint introductions during transition. These are improvements, not conditions that delay the P11 move.</w:t>
            </w:r>
          </w:p>
        </w:tc>
      </w:tr>
    </w:tbl>
    <w:p>
      <w:pPr>
        <w:spacing w:before="100" w:after="40"/>
      </w:pPr>
      <w:r>
        <w:rPr>
          <w:rFonts w:ascii="Aptos Display" w:hAnsi="Aptos Display"/>
          <w:b/>
          <w:color w:val="1F4E79"/>
          <w:sz w:val="24"/>
        </w:rPr>
        <w:t>Ownership, escalation, and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4"/>
              </w:rPr>
              <w:t>Accountability</w:t>
            </w:r>
          </w:p>
        </w:tc>
        <w:tc>
          <w:tcPr>
            <w:tcW w:type="dxa" w:w="2880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6048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4"/>
              </w:rPr>
              <w:t>Control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Transfer decision and exceptions</w:t>
            </w:r>
          </w:p>
        </w:tc>
        <w:tc>
          <w:tcPr>
            <w:tcW w:type="dxa" w:w="2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Ivy Marchbanks, Sales Director</w:t>
            </w:r>
          </w:p>
        </w:tc>
        <w:tc>
          <w:tcPr>
            <w:tcW w:type="dxa" w:w="60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Confirms decision; receives same-business-day escalation.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Handoff and desk acceptance</w:t>
            </w:r>
          </w:p>
        </w:tc>
        <w:tc>
          <w:tcPr>
            <w:tcW w:type="dxa" w:w="2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Inside-Sales Desk Manager</w:t>
            </w:r>
          </w:p>
        </w:tc>
        <w:tc>
          <w:tcPr>
            <w:tcW w:type="dxa" w:w="60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Accepts account; confirms context and open work are usable.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Customer contact and account context</w:t>
            </w:r>
          </w:p>
        </w:tc>
        <w:tc>
          <w:tcPr>
            <w:tcW w:type="dxa" w:w="2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Dale Prendergast + receiving desk</w:t>
            </w:r>
          </w:p>
        </w:tc>
        <w:tc>
          <w:tcPr>
            <w:tcW w:type="dxa" w:w="60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Named contact at/before wave; joint review where flagged.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Roster, commission explanation, completion check</w:t>
            </w:r>
          </w:p>
        </w:tc>
        <w:tc>
          <w:tcPr>
            <w:tcW w:type="dxa" w:w="2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Sales Operations Manager / Payroll &amp; Commissions Lead</w:t>
            </w:r>
          </w:p>
        </w:tc>
        <w:tc>
          <w:tcPr>
            <w:tcW w:type="dxa" w:w="60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At each wave close, reconcile all roster accounts, acceptance, and customer-contact status; explain current-term calculation.</w:t>
            </w:r>
          </w:p>
        </w:tc>
      </w:tr>
    </w:tbl>
    <w:p>
      <w:pPr>
        <w:spacing w:after="20" w:line="240" w:lineRule="auto"/>
      </w:pPr>
      <w:r>
        <w:rPr>
          <w:rFonts w:ascii="Aptos" w:hAnsi="Aptos"/>
          <w:sz w:val="15"/>
        </w:rPr>
        <w:t>Trigger: a disputed handoff or any condition that could interrupt service, an open commitment, or an active opportunity is escalated by the Inside-Sales Desk Manager to Ivy the same business day. The wave-close reconciliation is complete only when each moved account is accepted and its customer-contact and handoff record are recorded.</w:t>
      </w:r>
    </w:p>
    <w:p>
      <w:r>
        <w:br w:type="page"/>
      </w:r>
    </w:p>
    <w:p>
      <w:pPr>
        <w:spacing w:before="100" w:after="40"/>
      </w:pPr>
      <w:r>
        <w:rPr>
          <w:rFonts w:ascii="Aptos Display" w:hAnsi="Aptos Display"/>
          <w:b/>
          <w:color w:val="1F4E79"/>
          <w:sz w:val="24"/>
        </w:rPr>
        <w:t>Auditable P11 transfer roster — 31 distinct accounts</w:t>
      </w:r>
    </w:p>
    <w:p>
      <w:pPr>
        <w:spacing w:after="60" w:line="240" w:lineRule="auto"/>
      </w:pPr>
      <w:r>
        <w:rPr>
          <w:rFonts w:ascii="Aptos" w:hAnsi="Aptos"/>
          <w:sz w:val="15"/>
        </w:rPr>
        <w:t>Every row below is a source-designated commercial-landscape transfer. “Flag” preserves the roster’s continuity-sensitive status; a dash means none recorded. Retained comparison: 24 distinct non-commercial-landscape accounts remain with Dale (Longbarrow Manufacturing and the other retained records in the source roster).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080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3"/>
              </w:rPr>
              <w:t>Cust ID</w:t>
            </w:r>
          </w:p>
        </w:tc>
        <w:tc>
          <w:tcPr>
            <w:tcW w:type="dxa" w:w="4104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3"/>
              </w:rPr>
              <w:t>Commercial-landscape account</w:t>
            </w:r>
          </w:p>
        </w:tc>
        <w:tc>
          <w:tcPr>
            <w:tcW w:type="dxa" w:w="2088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3"/>
              </w:rPr>
              <w:t>P11 timing</w:t>
            </w:r>
          </w:p>
        </w:tc>
        <w:tc>
          <w:tcPr>
            <w:tcW w:type="dxa" w:w="1944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3"/>
              </w:rPr>
              <w:t>Flag</w:t>
            </w:r>
          </w:p>
        </w:tc>
        <w:tc>
          <w:tcPr>
            <w:tcW w:type="dxa" w:w="1152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3"/>
              </w:rPr>
              <w:t>P10 sales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CL-1042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Arborwell Grounds LLC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W1 / 04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Open seasonal pricing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$38,400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CL-1048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Bramble &amp; Row Landscape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W1 / 04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$29,650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CL-1051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Cedarline Site Care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W1 / 04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Open renewal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$44,200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CL-1059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Dovetail Outdoor Services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W1 / 04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$31,800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CL-1063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Evergreen Axis Maintenance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W1 / 04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Open order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$36,750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CL-1068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Fieldstone Commercial Gardens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W1 / 04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$25,300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CL-1074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Greenbarrow Landscape Group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W1 / 04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Active opportunity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$48,900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CL-1079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Hedgerow Property Care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W1 / 04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$27,900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CL-1086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Ironleaf Groundskeeping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W1 / 04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Open commitment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$41,100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CL-1091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Juniper Ridge Services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W1 / 04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$22,450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CL-1097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Kestrel Landscape Works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W2 / 11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$35,300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CL-1102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Larkspur Commercial Care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W2 / 11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Open renewal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$39,800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CL-1108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Marlowe Associates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W2 / 11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Active opportunity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$51,700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CL-1113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Northgate Turf &amp; Irrigation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W2 / 11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$46,700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CL-1119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Oakrun Grounds LLC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W2 / 11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Open order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$28,600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CL-1125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Palisade Landscape Co.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W2 / 11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$33,800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CL-1130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Quarry Hill Site Services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W2 / 11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$26,100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CL-1137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Redbud Facilities Landscape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W2 / 11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Open commitment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$42,900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CL-1144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Stonewick Landscape Partners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W2 / 11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Active opportunity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$47,300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CL-1150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Thistle &amp; Spade Commercial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W2 / 11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$30,800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CL-1156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Union Grove Landscape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W2 / 11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$37,400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CL-1161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Verdant Mile Grounds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W3 / 18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$35,900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CL-1167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Westmere Property Landscapes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W3 / 18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Open renewal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$45,200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CL-1173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Yarrow Street Grounds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W3 / 18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$24,600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CL-1179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Zephyr Site Management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W3 / 18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Active opportunity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$41,800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CL-1184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Ashlar Green Services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W3 / 18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$29,400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CL-1190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Bluegate Landscape Systems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W3 / 18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Open order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$32,200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CL-1196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Crownfield Outdoor Care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W3 / 18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$40,500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CL-1201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Driftwood Grounds Maintenance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W3 / 18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Open commitment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$27,100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CL-1207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Elmbridge Landscape Services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W3 / 18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None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$38,600</w:t>
            </w:r>
          </w:p>
        </w:tc>
      </w:tr>
      <w:tr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CL-1212</w:t>
            </w:r>
          </w:p>
        </w:tc>
        <w:tc>
          <w:tcPr>
            <w:tcW w:type="dxa" w:w="410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Foxmere Commercial Grounds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W3 / 18 Nov 2026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Open renewal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3"/>
              </w:rPr>
              <w:t>$38,100</w:t>
            </w:r>
          </w:p>
        </w:tc>
      </w:tr>
    </w:tbl>
    <w:p>
      <w:pPr>
        <w:spacing w:after="20" w:line="240" w:lineRule="auto"/>
      </w:pPr>
      <w:r>
        <w:rPr>
          <w:rFonts w:ascii="Aptos" w:hAnsi="Aptos"/>
          <w:sz w:val="15"/>
        </w:rPr>
        <w:t>Roster reconciliation: 31 distinct transferred accounts; $1,120,250 transferred FY26-through-P10 commissionable sales; $44,810 transferred-book commission effect at the current 4.00% rate. The repeated Stonewick Landscape Partners export row is not a second account or a second financial record.</w:t>
      </w:r>
    </w:p>
    <w:p>
      <w:r>
        <w:br w:type="page"/>
      </w:r>
    </w:p>
    <w:p>
      <w:pPr>
        <w:spacing w:before="100" w:after="40"/>
      </w:pPr>
      <w:r>
        <w:rPr>
          <w:rFonts w:ascii="Aptos Display" w:hAnsi="Aptos Display"/>
          <w:b/>
          <w:color w:val="1F4E79"/>
          <w:sz w:val="24"/>
        </w:rPr>
        <w:t>Revision record and decision</w:t>
      </w:r>
    </w:p>
    <w:p>
      <w:pPr>
        <w:spacing w:after="40" w:line="240" w:lineRule="auto"/>
      </w:pPr>
      <w:r>
        <w:rPr>
          <w:rFonts w:ascii="Aptos" w:hAnsi="Aptos"/>
          <w:sz w:val="15"/>
        </w:rPr>
        <w:t>This plan replaces the 10 Oct working draft using the review packet’s current facts. The changes are material, not editorial: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4"/>
              </w:rPr>
              <w:t>What changed</w:t>
            </w:r>
          </w:p>
        </w:tc>
        <w:tc>
          <w:tcPr>
            <w:tcW w:type="dxa" w:w="2880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6840"/>
            <w:shd w:fill="1F4E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4"/>
              </w:rPr>
              <w:t>Plan treatment</w:t>
            </w:r>
          </w:p>
        </w:tc>
      </w:tr>
      <w:t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Timing and scope</w:t>
            </w:r>
          </w:p>
        </w:tc>
        <w:tc>
          <w:tcPr>
            <w:tcW w:type="dxa" w:w="2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Gerhard Moravec / current facts</w:t>
            </w:r>
          </w:p>
        </w:tc>
        <w:tc>
          <w:tcPr>
            <w:tcW w:type="dxa" w:w="68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Replaced P10 and “approximately 30” with the complete 31-account roster and P11 waves: 04, 11, and 18 Nov 2026.</w:t>
            </w:r>
          </w:p>
        </w:tc>
      </w:tr>
      <w:t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Comparison and rationale</w:t>
            </w:r>
          </w:p>
        </w:tc>
        <w:tc>
          <w:tcPr>
            <w:tcW w:type="dxa" w:w="2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Astrid Rivenburgh / current facts</w:t>
            </w:r>
          </w:p>
        </w:tc>
        <w:tc>
          <w:tcPr>
            <w:tcW w:type="dxa" w:w="68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Made commercial-landscape scope explicit and identified the 24 retained non-commercial-landscape field accounts.</w:t>
            </w:r>
          </w:p>
        </w:tc>
      </w:tr>
      <w:t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Commission clarity</w:t>
            </w:r>
          </w:p>
        </w:tc>
        <w:tc>
          <w:tcPr>
            <w:tcW w:type="dxa" w:w="2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Sofia Skarsgard / Commission terms</w:t>
            </w:r>
          </w:p>
        </w:tc>
        <w:tc>
          <w:tcPr>
            <w:tcW w:type="dxa" w:w="68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Put $234,296 baseline, $47,754 transferred-book amount, and −$47,754 impact together; bounded it as a current-term, FY26-through-P10 effect.</w:t>
            </w:r>
          </w:p>
        </w:tc>
      </w:tr>
      <w:t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Feasible preparation</w:t>
            </w:r>
          </w:p>
        </w:tc>
        <w:tc>
          <w:tcPr>
            <w:tcW w:type="dxa" w:w="2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Tamsin Elbaz / current facts</w:t>
            </w:r>
          </w:p>
        </w:tc>
        <w:tc>
          <w:tcPr>
            <w:tcW w:type="dxa" w:w="68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Removed all-account shadowing. Kept minimum handoff/acceptance for all, prioritized 12 readiness sessions, and defined the transition fallback.</w:t>
            </w:r>
          </w:p>
        </w:tc>
      </w:tr>
      <w:t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Customer continuity</w:t>
            </w:r>
          </w:p>
        </w:tc>
        <w:tc>
          <w:tcPr>
            <w:tcW w:type="dxa" w:w="2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Naledi Kavanagh / current facts</w:t>
            </w:r>
          </w:p>
        </w:tc>
        <w:tc>
          <w:tcPr>
            <w:tcW w:type="dxa" w:w="68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Moved customer contact to at/before each wave; added flagged-work joint review, service-risk escalation, and wave-close monitoring.</w:t>
            </w:r>
          </w:p>
        </w:tc>
      </w:tr>
    </w:tbl>
    <w:p>
      <w:pPr>
        <w:spacing w:before="100" w:after="40"/>
      </w:pPr>
      <w:r>
        <w:rPr>
          <w:rFonts w:ascii="Aptos Display" w:hAnsi="Aptos Display"/>
          <w:b/>
          <w:color w:val="1F4E79"/>
          <w:sz w:val="24"/>
        </w:rPr>
        <w:t>Recommendation and decision statement</w:t>
      </w:r>
    </w:p>
    <w:p>
      <w:pPr>
        <w:spacing w:after="0" w:line="240" w:lineRule="auto"/>
      </w:pPr>
      <w:r>
        <w:rPr>
          <w:rFonts w:ascii="Aptos" w:hAnsi="Aptos"/>
          <w:b/>
          <w:sz w:val="16"/>
        </w:rPr>
        <w:t>Recommendation: execute the P11 transfer exactly as listed, with the mandatory acceptance, customer-contact, and continuity controls above; do not defer it for exhaustive shadowing. Decision: Ivy Marchbanks will proceed with the 31-account commercial-landscape transition on the assigned 04, 11, and 18 Nov 2026 waves, accepting the current-term −$47,754 FY26-through-P10 commission impact as the known cost of concentrating the new segment in the inside-sales desk.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4"/>
      </w:rPr>
      <w:t>Prepared by Ivy Marchbanks • 24 Oct 2026 • P11 transition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464"/>
        <w:sz w:val="14"/>
      </w:rPr>
      <w:t>QUIMBY IRRIGATION SUPPLY  |  INTERNAL DECISION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