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embeddings/Foxglove_Chart_Data_1.xlsx" ContentType="application/vnd.openxmlformats-officedocument.spreadsheetml.sheet"/>
  <Override PartName="/word/charts/chart2.xml" ContentType="application/vnd.openxmlformats-officedocument.drawingml.chart+xml"/>
  <Override PartName="/word/embeddings/Foxglove_Chart_Data_2.xlsx" ContentType="application/vnd.openxmlformats-officedocument.spreadsheetml.sheet"/>
  <Override PartName="/word/charts/chart3.xml" ContentType="application/vnd.openxmlformats-officedocument.drawingml.chart+xml"/>
  <Override PartName="/word/embeddings/Foxglove_Chart_Data_3.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" w:hAnsi="Aptos"/>
          <w:b/>
          <w:color w:val="5B6B7A"/>
          <w:sz w:val="16"/>
        </w:rPr>
        <w:t>CORRECTED ANALYSIS  |  30 July 2025</w:t>
      </w:r>
    </w:p>
    <w:p>
      <w:pPr>
        <w:spacing w:before="0" w:after="80"/>
      </w:pPr>
      <w:r>
        <w:rPr>
          <w:rFonts w:ascii="Aptos Display" w:hAnsi="Aptos Display"/>
          <w:b/>
          <w:color w:val="17365D"/>
          <w:sz w:val="34"/>
        </w:rPr>
        <w:t>Renewal decision brief</w:t>
      </w:r>
    </w:p>
    <w:p>
      <w:pPr>
        <w:spacing w:after="100" w:line="240" w:lineRule="auto"/>
      </w:pPr>
      <w:r>
        <w:rPr>
          <w:rFonts w:ascii="Aptos" w:hAnsi="Aptos"/>
          <w:b w:val="0"/>
          <w:color w:val="44546A"/>
          <w:sz w:val="17"/>
        </w:rPr>
        <w:t>Foxglove contract renewal review for Gallowspring Associates counsel. Prepared for Damaris Hartnett.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17365D"/>
                <w:sz w:val="48"/>
              </w:rPr>
              <w:t>15.48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sz w:val="15"/>
              </w:rPr>
              <w:t>incidents per 100,000 exposure hours</w:t>
            </w:r>
          </w:p>
        </w:tc>
        <w:tc>
          <w:tcPr>
            <w:tcW w:type="dxa" w:w="6623"/>
            <w:shd w:fill="F3F6F8"/>
          </w:tcPr>
          <w:p>
            <w:pPr>
              <w:spacing w:after="20"/>
            </w:pPr>
            <w:r>
              <w:rPr>
                <w:rFonts w:ascii="Aptos" w:hAnsi="Aptos"/>
                <w:b/>
                <w:color w:val="5B6B7A"/>
                <w:sz w:val="15"/>
              </w:rPr>
              <w:t>SUPPORTED RENEWAL FIGURE</w:t>
              <w:br/>
            </w:r>
            <w:r>
              <w:rPr>
                <w:rFonts w:ascii="Aptos" w:hAnsi="Aptos"/>
                <w:b/>
                <w:color w:val="17365D"/>
                <w:sz w:val="18"/>
              </w:rPr>
              <w:t>Latest complete compatible pair</w:t>
            </w:r>
          </w:p>
          <w:p>
            <w:pPr>
              <w:spacing w:after="0"/>
            </w:pPr>
            <w:r>
              <w:rPr>
                <w:rFonts w:ascii="Aptos" w:hAnsi="Aptos"/>
                <w:sz w:val="16"/>
              </w:rPr>
              <w:t>Period end: 30 June 2025</w:t>
              <w:br/>
              <w:t>Snapshot: 10 July 2025</w:t>
              <w:br/>
              <w:t>Status: AUTHORIZED_RESTATEMENT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EAF3F8"/>
            <w:tcBorders>
              <w:top w:val="single" w:sz="6" w:color="9AA7B0"/>
              <w:left w:val="single" w:sz="6" w:color="9AA7B0"/>
              <w:bottom w:val="single" w:sz="6" w:color="9AA7B0"/>
              <w:right w:val="single" w:sz="6" w:color="9AA7B0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7365D"/>
                <w:sz w:val="19"/>
              </w:rPr>
              <w:t>Recommendation for counsel</w:t>
            </w:r>
          </w:p>
          <w:p>
            <w:pPr>
              <w:spacing w:after="0"/>
            </w:pPr>
            <w:r>
              <w:rPr>
                <w:rFonts w:ascii="Aptos" w:hAnsi="Aptos"/>
                <w:sz w:val="16"/>
              </w:rPr>
              <w:t>Use 15.48 incidents per 100,000 exposure hours for the 30 June 2025 period end and 10 July 2025 authorised snapshot. Describe the aligned overall movement of -1.5% from the 03 July 2025 baseline as not material against the 10.0% threshold. Remove the mixed-date figure and deterioration assertion. This is an evidential recommendation; the renewal decision remains with counsel.</w:t>
            </w:r>
          </w:p>
        </w:tc>
      </w:tr>
    </w:tbl>
    <w:p>
      <w:pPr>
        <w:spacing w:after="40" w:line="240" w:lineRule="auto"/>
      </w:pPr>
      <w:r>
        <w:rPr>
          <w:rFonts w:ascii="Aptos" w:hAnsi="Aptos"/>
          <w:b/>
          <w:color w:val="17365D"/>
          <w:sz w:val="20"/>
        </w:rPr>
        <w:t>Dated variance check - period end 30 June 2025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1944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View</w:t>
            </w:r>
          </w:p>
        </w:tc>
        <w:tc>
          <w:tcPr>
            <w:tcW w:type="dxa" w:w="2664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Numerator basis</w:t>
            </w:r>
          </w:p>
        </w:tc>
        <w:tc>
          <w:tcPr>
            <w:tcW w:type="dxa" w:w="2664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Denominator basis</w:t>
            </w:r>
          </w:p>
        </w:tc>
        <w:tc>
          <w:tcPr>
            <w:tcW w:type="dxa" w:w="2808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Rate</w:t>
              <w:br/>
              <w:t>incidents per 100,000 exposure hours</w:t>
            </w:r>
          </w:p>
        </w:tc>
      </w:tr>
      <w:tr>
        <w:tc>
          <w:tcPr>
            <w:tcW w:type="dxa" w:w="1944"/>
            <w:shd w:fill="F3F6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1F1F"/>
                <w:sz w:val="15"/>
              </w:rPr>
              <w:t>Compatible baseline</w:t>
            </w:r>
          </w:p>
        </w:tc>
        <w:tc>
          <w:tcPr>
            <w:tcW w:type="dxa" w:w="2664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11 incidents</w:t>
              <w:br/>
              <w:t>03 Jul 2025</w:t>
            </w:r>
          </w:p>
        </w:tc>
        <w:tc>
          <w:tcPr>
            <w:tcW w:type="dxa" w:w="2664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70,000 hours</w:t>
              <w:br/>
              <w:t>03 Jul 2025</w:t>
            </w:r>
          </w:p>
        </w:tc>
        <w:tc>
          <w:tcPr>
            <w:tcW w:type="dxa" w:w="2808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15.71</w:t>
            </w:r>
          </w:p>
        </w:tc>
      </w:tr>
      <w:tr>
        <w:tc>
          <w:tcPr>
            <w:tcW w:type="dxa" w:w="1944"/>
            <w:shd w:fill="FFF4E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1F1F"/>
                <w:sz w:val="15"/>
              </w:rPr>
              <w:t>Draft diagnostic only</w:t>
            </w:r>
          </w:p>
        </w:tc>
        <w:tc>
          <w:tcPr>
            <w:tcW w:type="dxa" w:w="2664"/>
            <w:shd w:fill="FFF4E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13 incidents</w:t>
              <w:br/>
              <w:t>10 Jul 2025</w:t>
            </w:r>
          </w:p>
        </w:tc>
        <w:tc>
          <w:tcPr>
            <w:tcW w:type="dxa" w:w="2664"/>
            <w:shd w:fill="FFF4E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70,000 hours</w:t>
              <w:br/>
              <w:t>03 Jul 2025</w:t>
            </w:r>
          </w:p>
        </w:tc>
        <w:tc>
          <w:tcPr>
            <w:tcW w:type="dxa" w:w="2808"/>
            <w:shd w:fill="FFF4E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18.57</w:t>
            </w:r>
          </w:p>
        </w:tc>
      </w:tr>
      <w:tr>
        <w:tc>
          <w:tcPr>
            <w:tcW w:type="dxa" w:w="1944"/>
            <w:shd w:fill="F3F6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1F1F"/>
                <w:sz w:val="15"/>
              </w:rPr>
              <w:t>Selected restatement</w:t>
            </w:r>
          </w:p>
        </w:tc>
        <w:tc>
          <w:tcPr>
            <w:tcW w:type="dxa" w:w="2664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13 incidents</w:t>
              <w:br/>
              <w:t>10 Jul 2025</w:t>
            </w:r>
          </w:p>
        </w:tc>
        <w:tc>
          <w:tcPr>
            <w:tcW w:type="dxa" w:w="2664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84,000 hours</w:t>
              <w:br/>
              <w:t>10 Jul 2025</w:t>
            </w:r>
          </w:p>
        </w:tc>
        <w:tc>
          <w:tcPr>
            <w:tcW w:type="dxa" w:w="2808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15.48</w:t>
            </w:r>
          </w:p>
        </w:tc>
      </w:tr>
    </w:tbl>
    <w:p>
      <w:pPr>
        <w:spacing w:after="40" w:line="240" w:lineRule="auto"/>
      </w:pPr>
      <w:r>
        <w:rPr>
          <w:rFonts w:ascii="Aptos" w:hAnsi="Aptos"/>
          <w:b w:val="0"/>
          <w:color w:val="44546A"/>
          <w:sz w:val="16"/>
        </w:rPr>
        <w:t>The challenged draft value of 18.57 uses the 10 July 2025 retained numerator with the 03 July 2025 baseline exposure denominator. It is a diagnostic of the mismatch, not a valid comparable rate. Its apparent +18.2% movement is distinct from the compatible-pair movement.</w:t>
      </w:r>
    </w:p>
    <w:p>
      <w:pPr>
        <w:spacing w:after="0" w:line="240" w:lineRule="auto"/>
      </w:pPr>
      <w:r>
        <w:rPr>
          <w:rFonts w:ascii="Aptos" w:hAnsi="Aptos"/>
          <w:b w:val="0"/>
          <w:color w:val="5B6B7A"/>
          <w:sz w:val="15"/>
        </w:rPr>
        <w:t>Basis: supplied incident, exposure and authorization records only. No external benchmarks or legal advice are included.</w:t>
      </w:r>
    </w:p>
    <w:p>
      <w:r>
        <w:br w:type="page"/>
      </w:r>
    </w:p>
    <w:p>
      <w:pPr>
        <w:spacing w:after="20"/>
      </w:pPr>
      <w:r>
        <w:rPr>
          <w:rFonts w:ascii="Aptos" w:hAnsi="Aptos"/>
          <w:b/>
          <w:color w:val="5B6B7A"/>
          <w:sz w:val="16"/>
        </w:rPr>
        <w:t>COMPATIBLE SNAPSHOT COMPARISON</w:t>
      </w:r>
    </w:p>
    <w:p>
      <w:pPr>
        <w:spacing w:before="0" w:after="80"/>
      </w:pPr>
      <w:r>
        <w:rPr>
          <w:rFonts w:ascii="Aptos Display" w:hAnsi="Aptos Display"/>
          <w:b/>
          <w:color w:val="17365D"/>
          <w:sz w:val="34"/>
        </w:rPr>
        <w:t>Aligned incident-rate analysis</w:t>
      </w:r>
    </w:p>
    <w:p>
      <w:pPr>
        <w:spacing w:after="80" w:line="240" w:lineRule="auto"/>
      </w:pPr>
      <w:r>
        <w:rPr>
          <w:rFonts w:ascii="Aptos" w:hAnsi="Aptos"/>
          <w:b w:val="0"/>
          <w:color w:val="44546A"/>
          <w:sz w:val="16"/>
        </w:rPr>
        <w:t>Period end: 30 June 2025. Rate unit: incidents per 100,000 exposure hours. Each column pairs incident and exposure records with the same snapshot date.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1800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Jurisdiction</w:t>
            </w:r>
          </w:p>
        </w:tc>
        <w:tc>
          <w:tcPr>
            <w:tcW w:type="dxa" w:w="2664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Baseline</w:t>
              <w:br/>
              <w:t>03 Jul 2025</w:t>
              <w:br/>
              <w:t>incidents / hours / rate</w:t>
            </w:r>
          </w:p>
        </w:tc>
        <w:tc>
          <w:tcPr>
            <w:tcW w:type="dxa" w:w="2808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Authorised restatement</w:t>
              <w:br/>
              <w:t>10 Jul 2025</w:t>
              <w:br/>
              <w:t>incidents / hours / rate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Relative</w:t>
              <w:br/>
              <w:t>movement</w:t>
            </w:r>
          </w:p>
        </w:tc>
        <w:tc>
          <w:tcPr>
            <w:tcW w:type="dxa" w:w="1655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Contract</w:t>
              <w:br/>
              <w:t>conclusion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1F1F"/>
                <w:sz w:val="15"/>
              </w:rPr>
              <w:t>England and Wales (EW)</w:t>
            </w:r>
          </w:p>
        </w:tc>
        <w:tc>
          <w:tcPr>
            <w:tcW w:type="dxa" w:w="2664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8 / 48,000 / 16.67</w:t>
            </w:r>
          </w:p>
        </w:tc>
        <w:tc>
          <w:tcPr>
            <w:tcW w:type="dxa" w:w="2808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11 / 62,000 / 17.74</w:t>
            </w:r>
          </w:p>
        </w:tc>
        <w:tc>
          <w:tcPr>
            <w:tcW w:type="dxa" w:w="1296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+6.5%</w:t>
            </w:r>
          </w:p>
        </w:tc>
        <w:tc>
          <w:tcPr>
            <w:tcW w:type="dxa" w:w="1655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Not material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1F1F"/>
                <w:sz w:val="15"/>
              </w:rPr>
              <w:t>Scotland (SCT)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3 / 22,000 / 13.64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2 / 22,000 / 9.09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-33.3%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Material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1F1F"/>
                <w:sz w:val="15"/>
              </w:rPr>
              <w:t>Overall (ALL)</w:t>
            </w:r>
          </w:p>
        </w:tc>
        <w:tc>
          <w:tcPr>
            <w:tcW w:type="dxa" w:w="2664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11 / 70,000 / 15.71</w:t>
            </w:r>
          </w:p>
        </w:tc>
        <w:tc>
          <w:tcPr>
            <w:tcW w:type="dxa" w:w="2808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13 / 84,000 / 15.48</w:t>
            </w:r>
          </w:p>
        </w:tc>
        <w:tc>
          <w:tcPr>
            <w:tcW w:type="dxa" w:w="1296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-1.5%</w:t>
            </w:r>
          </w:p>
        </w:tc>
        <w:tc>
          <w:tcPr>
            <w:tcW w:type="dxa" w:w="1655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5"/>
              </w:rPr>
              <w:t>Not material</w:t>
            </w:r>
          </w:p>
        </w:tc>
      </w:tr>
    </w:tbl>
    <w:p>
      <w:pPr>
        <w:spacing w:after="0" w:line="240" w:lineRule="auto"/>
      </w:pPr>
      <w:r>
        <w:rPr>
          <w:rFonts w:ascii="Aptos" w:hAnsi="Aptos"/>
          <w:b w:val="0"/>
          <w:color w:val="1F1F1F"/>
          <w:sz w:val="17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331720"/>
            <wp:docPr id="1" name="FOXGLOVE_ALIGNED_RATE_CHART" descr="FOXGLOVE_ALIGNED_RATE_CHART"/>
            <wp:cNvGraphicFramePr>
              <a:graphicFrameLocks noChangeAspect="1"/>
            </wp:cNvGraphicFramePr>
            <a:graphic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</w:p>
    <w:p>
      <w:pPr>
        <w:spacing w:after="60" w:line="240" w:lineRule="auto"/>
      </w:pPr>
      <w:r>
        <w:rPr>
          <w:rFonts w:ascii="Aptos" w:hAnsi="Aptos"/>
          <w:b w:val="0"/>
          <w:color w:val="5B6B7A"/>
          <w:sz w:val="14"/>
        </w:rPr>
        <w:t>Aligned rate chart - period end 30 June 2025; baseline snapshot 03 July 2025 and authorised-restatement snapshot 10 July 2025. Unit: incidents per 100,000 exposure hours.</w:t>
      </w:r>
    </w:p>
    <w:p>
      <w:pPr>
        <w:spacing w:after="0" w:line="240" w:lineRule="auto"/>
      </w:pPr>
      <w:r>
        <w:rPr>
          <w:rFonts w:ascii="Aptos" w:hAnsi="Aptos"/>
          <w:b w:val="0"/>
          <w:color w:val="44546A"/>
          <w:sz w:val="16"/>
        </w:rPr>
        <w:t>The weighted overall rate moves from 15.71 to 15.48 (-1.5%), below the contractual threshold. England and Wales is +6.5% and not material; Scotland is -33.3% and material in magnitude. The draft's claim of jurisdiction deterioration is unsupported because its numerator and denominator dates were unmatched.</w:t>
      </w:r>
    </w:p>
    <w:p>
      <w:r>
        <w:br w:type="page"/>
      </w:r>
    </w:p>
    <w:p>
      <w:pPr>
        <w:spacing w:after="20"/>
      </w:pPr>
      <w:r>
        <w:rPr>
          <w:rFonts w:ascii="Aptos" w:hAnsi="Aptos"/>
          <w:b/>
          <w:color w:val="5B6B7A"/>
          <w:sz w:val="16"/>
        </w:rPr>
        <w:t>AUTHORIZATION-TO-RESTATEMENT RECONCILIATION</w:t>
      </w:r>
    </w:p>
    <w:p>
      <w:pPr>
        <w:spacing w:before="0" w:after="80"/>
      </w:pPr>
      <w:r>
        <w:rPr>
          <w:rFonts w:ascii="Aptos Display" w:hAnsi="Aptos Display"/>
          <w:b/>
          <w:color w:val="17365D"/>
          <w:sz w:val="34"/>
        </w:rPr>
        <w:t>Authorized change bridge</w:t>
      </w:r>
    </w:p>
    <w:p>
      <w:pPr>
        <w:spacing w:after="80" w:line="240" w:lineRule="auto"/>
      </w:pPr>
      <w:r>
        <w:rPr>
          <w:rFonts w:ascii="Aptos" w:hAnsi="Aptos"/>
          <w:b w:val="0"/>
          <w:color w:val="44546A"/>
          <w:sz w:val="16"/>
        </w:rPr>
        <w:t>Period end: 30 June 2025. Opening compatible baseline: 03 July 2025; closing authorised restatement: 10 July 2025.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</w:tblGrid>
      <w:tr>
        <w:trPr>
          <w:tblHeader w:val="true"/>
        </w:trPr>
        <w:tc>
          <w:tcPr>
            <w:tcW w:type="dxa" w:w="2015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Authorization / date</w:t>
            </w:r>
          </w:p>
        </w:tc>
        <w:tc>
          <w:tcPr>
            <w:tcW w:type="dxa" w:w="1655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3600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Business effect</w:t>
            </w:r>
          </w:p>
        </w:tc>
        <w:tc>
          <w:tcPr>
            <w:tcW w:type="dxa" w:w="936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Count</w:t>
              <w:br/>
              <w:t>effect</w:t>
            </w:r>
          </w:p>
        </w:tc>
        <w:tc>
          <w:tcPr>
            <w:tcW w:type="dxa" w:w="1080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Hours</w:t>
              <w:br/>
              <w:t>effect</w:t>
            </w:r>
          </w:p>
        </w:tc>
        <w:tc>
          <w:tcPr>
            <w:tcW w:type="dxa" w:w="1368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Running</w:t>
              <w:br/>
              <w:t>incidents / hours</w:t>
            </w:r>
          </w:p>
        </w:tc>
      </w:tr>
      <w:tr>
        <w:tc>
          <w:tcPr>
            <w:tcW w:type="dxa" w:w="2015"/>
            <w:shd w:fill="EA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1F1F"/>
                <w:sz w:val="13"/>
              </w:rPr>
              <w:t>Baseline</w:t>
              <w:br/>
              <w:t>03 Jul</w:t>
            </w:r>
          </w:p>
        </w:tc>
        <w:tc>
          <w:tcPr>
            <w:tcW w:type="dxa" w:w="1655"/>
            <w:shd w:fill="EA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OPENING</w:t>
            </w:r>
          </w:p>
        </w:tc>
        <w:tc>
          <w:tcPr>
            <w:tcW w:type="dxa" w:w="3600"/>
            <w:shd w:fill="EA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Earlier complete authorised pair.</w:t>
            </w:r>
          </w:p>
        </w:tc>
        <w:tc>
          <w:tcPr>
            <w:tcW w:type="dxa" w:w="936"/>
            <w:shd w:fill="EAF3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0</w:t>
            </w:r>
          </w:p>
        </w:tc>
        <w:tc>
          <w:tcPr>
            <w:tcW w:type="dxa" w:w="1080"/>
            <w:shd w:fill="EAF3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0</w:t>
            </w:r>
          </w:p>
        </w:tc>
        <w:tc>
          <w:tcPr>
            <w:tcW w:type="dxa" w:w="1368"/>
            <w:shd w:fill="EAF3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11 / 70,000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1F1F"/>
                <w:sz w:val="13"/>
              </w:rPr>
              <w:t>AUTH-OPEN-EW</w:t>
              <w:br/>
              <w:t>01 Jul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BASELINE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Opening authorised incident set for England and Wales.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0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11 / 70,000</w:t>
            </w:r>
          </w:p>
        </w:tc>
      </w:tr>
      <w:tr>
        <w:tc>
          <w:tcPr>
            <w:tcW w:type="dxa" w:w="2015"/>
            <w:shd w:fill="F3F6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1F1F"/>
                <w:sz w:val="13"/>
              </w:rPr>
              <w:t>AUTH-OPEN-SCT</w:t>
              <w:br/>
              <w:t>01 Jul</w:t>
            </w:r>
          </w:p>
        </w:tc>
        <w:tc>
          <w:tcPr>
            <w:tcW w:type="dxa" w:w="1655"/>
            <w:shd w:fill="F3F6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BASELINE</w:t>
            </w:r>
          </w:p>
        </w:tc>
        <w:tc>
          <w:tcPr>
            <w:tcW w:type="dxa" w:w="3600"/>
            <w:shd w:fill="F3F6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Opening authorised incident set for Scotland.</w:t>
            </w:r>
          </w:p>
        </w:tc>
        <w:tc>
          <w:tcPr>
            <w:tcW w:type="dxa" w:w="936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0</w:t>
            </w:r>
          </w:p>
        </w:tc>
        <w:tc>
          <w:tcPr>
            <w:tcW w:type="dxa" w:w="1080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0</w:t>
            </w:r>
          </w:p>
        </w:tc>
        <w:tc>
          <w:tcPr>
            <w:tcW w:type="dxa" w:w="1368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11 / 70,000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1F1F"/>
                <w:sz w:val="13"/>
              </w:rPr>
              <w:t>AUTH-BASE-REV-03</w:t>
              <w:br/>
              <w:t>02 Jul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RECLASSIFICATION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Severity band normalised before the baseline snapshot; reportability unchanged.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0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11 / 70,000</w:t>
            </w:r>
          </w:p>
        </w:tc>
      </w:tr>
      <w:tr>
        <w:tc>
          <w:tcPr>
            <w:tcW w:type="dxa" w:w="2015"/>
            <w:shd w:fill="F3F6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1F1F"/>
                <w:sz w:val="13"/>
              </w:rPr>
              <w:t>AUTH-ADD-041</w:t>
              <w:br/>
              <w:t>05 Jul</w:t>
            </w:r>
          </w:p>
        </w:tc>
        <w:tc>
          <w:tcPr>
            <w:tcW w:type="dxa" w:w="1655"/>
            <w:shd w:fill="F3F6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ADDITION</w:t>
            </w:r>
          </w:p>
        </w:tc>
        <w:tc>
          <w:tcPr>
            <w:tcW w:type="dxa" w:w="3600"/>
            <w:shd w:fill="F3F6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Three reportable events added after case-file reconciliation.</w:t>
            </w:r>
          </w:p>
        </w:tc>
        <w:tc>
          <w:tcPr>
            <w:tcW w:type="dxa" w:w="936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+3</w:t>
            </w:r>
          </w:p>
        </w:tc>
        <w:tc>
          <w:tcPr>
            <w:tcW w:type="dxa" w:w="1080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0</w:t>
            </w:r>
          </w:p>
        </w:tc>
        <w:tc>
          <w:tcPr>
            <w:tcW w:type="dxa" w:w="1368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14 / 70,000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1F1F"/>
                <w:sz w:val="13"/>
              </w:rPr>
              <w:t>AUTH-WDR-017</w:t>
              <w:br/>
              <w:t>06 Jul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WITHDRAWAL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One duplicate event withdrawn after case-file review.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-1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0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13 / 70,000</w:t>
            </w:r>
          </w:p>
        </w:tc>
      </w:tr>
      <w:tr>
        <w:tc>
          <w:tcPr>
            <w:tcW w:type="dxa" w:w="2015"/>
            <w:shd w:fill="F3F6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1F1F"/>
                <w:sz w:val="13"/>
              </w:rPr>
              <w:t>AUTH-RECLASS-009</w:t>
              <w:br/>
              <w:t>07 Jul</w:t>
            </w:r>
          </w:p>
        </w:tc>
        <w:tc>
          <w:tcPr>
            <w:tcW w:type="dxa" w:w="1655"/>
            <w:shd w:fill="F3F6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RECLASSIFICATION</w:t>
            </w:r>
          </w:p>
        </w:tc>
        <w:tc>
          <w:tcPr>
            <w:tcW w:type="dxa" w:w="3600"/>
            <w:shd w:fill="F3F6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Severity band corrected from Moderate to Major; reportability unchanged.</w:t>
            </w:r>
          </w:p>
        </w:tc>
        <w:tc>
          <w:tcPr>
            <w:tcW w:type="dxa" w:w="936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0</w:t>
            </w:r>
          </w:p>
        </w:tc>
        <w:tc>
          <w:tcPr>
            <w:tcW w:type="dxa" w:w="1080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0</w:t>
            </w:r>
          </w:p>
        </w:tc>
        <w:tc>
          <w:tcPr>
            <w:tcW w:type="dxa" w:w="1368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13 / 70,000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1F1F"/>
                <w:sz w:val="13"/>
              </w:rPr>
              <w:t>AUTH-EXP-022</w:t>
              <w:br/>
              <w:t>08 Jul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CORRECTION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  <w:t>Service-hour ledger correction added 14,000 hours to England and Wales.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+14,000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13 / 84,000</w:t>
            </w:r>
          </w:p>
        </w:tc>
      </w:tr>
    </w:tbl>
    <w:p>
      <w:pPr>
        <w:spacing w:after="40" w:line="240" w:lineRule="auto"/>
      </w:pPr>
      <w:r>
        <w:rPr>
          <w:rFonts w:ascii="Aptos" w:hAnsi="Aptos"/>
          <w:b w:val="0"/>
          <w:color w:val="44546A"/>
          <w:sz w:val="15"/>
        </w:rPr>
        <w:t>AUTH-ADD-041 adds three reportable events; AUTH-WDR-017 removes one duplicate. AUTH-BASE-REV-03 and AUTH-RECLASS-009 change severity composition only and have zero total-count effect. AUTH-EXP-022 adds 14,000 approved England and Wales service hours. The bridge therefore moves 11 / 70,000 to 13 / 84,000 exactly.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4968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417320"/>
                  <wp:docPr id="2" name="FOXGLOVE_COUNT_BRIDGE_CHART" descr="FOXGLOVE_COUNT_BRIDGE_CHART"/>
                  <wp:cNvGraphicFramePr>
                    <a:graphicFrameLocks noChangeAspect="1"/>
                  </wp:cNvGraphicFramePr>
                  <a:graphic>
                    <a:graphicData uri="http://schemas.openxmlformats.org/drawingml/2006/chart">
                      <c:chart xmlns:c="http://schemas.openxmlformats.org/drawingml/2006/chart" r:id="rId13"/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417320"/>
                  <wp:docPr id="3" name="FOXGLOVE_HOURS_BRIDGE_CHART" descr="FOXGLOVE_HOURS_BRIDGE_CHART"/>
                  <wp:cNvGraphicFramePr>
                    <a:graphicFrameLocks noChangeAspect="1"/>
                  </wp:cNvGraphicFramePr>
                  <a:graphic>
                    <a:graphicData uri="http://schemas.openxmlformats.org/drawingml/2006/chart">
                      <c:chart xmlns:c="http://schemas.openxmlformats.org/drawingml/2006/chart" r:id="rId14"/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496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5B6B7A"/>
                <w:sz w:val="13"/>
              </w:rPr>
              <w:t>Count effects by authorization (same categories as bridge table).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5B6B7A"/>
                <w:sz w:val="13"/>
              </w:rPr>
              <w:t>Exposure-hour effects by authorization (same categories as bridge table).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ptos" w:hAnsi="Aptos"/>
          <w:b/>
          <w:color w:val="5B6B7A"/>
          <w:sz w:val="16"/>
        </w:rPr>
        <w:t>COUNSEL COMPLETION</w:t>
      </w:r>
    </w:p>
    <w:p>
      <w:pPr>
        <w:spacing w:before="0" w:after="80"/>
      </w:pPr>
      <w:r>
        <w:rPr>
          <w:rFonts w:ascii="Aptos Display" w:hAnsi="Aptos Display"/>
          <w:b/>
          <w:color w:val="17365D"/>
          <w:sz w:val="34"/>
        </w:rPr>
        <w:t>Counsel decision record</w:t>
      </w:r>
    </w:p>
    <w:p>
      <w:pPr>
        <w:spacing w:after="140" w:line="240" w:lineRule="auto"/>
      </w:pPr>
      <w:r>
        <w:rPr>
          <w:rFonts w:ascii="Aptos" w:hAnsi="Aptos"/>
          <w:b w:val="0"/>
          <w:color w:val="44546A"/>
          <w:sz w:val="16"/>
        </w:rPr>
        <w:t>Foxglove renewal review. Analyst basis: 15.48 incidents per 100,000 exposure hours for the 10 July 2025 authorised snapshot; renewal decision retained for counsel.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rHeight w:val="709"/>
        </w:trPr>
        <w:tc>
          <w:tcPr>
            <w:tcW w:type="dxa" w:w="2520"/>
            <w:shd w:fill="EAF3F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7365D"/>
                <w:sz w:val="17"/>
              </w:rPr>
              <w:t>Renewal decision</w:t>
            </w:r>
          </w:p>
        </w:tc>
        <w:tc>
          <w:tcPr>
            <w:tcW w:type="dxa" w:w="7560"/>
            <w:tcBorders>
              <w:bottom w:val="single" w:sz="8" w:color="6B7280"/>
            </w:tcBorders>
            <w:vAlign w:val="bottom"/>
          </w:tcPr>
          <w:p>
            <w:pPr>
              <w:spacing w:after="0"/>
            </w:pPr>
          </w:p>
        </w:tc>
      </w:tr>
      <w:tr>
        <w:trPr>
          <w:trHeight w:val="624"/>
        </w:trPr>
        <w:tc>
          <w:tcPr>
            <w:tcW w:type="dxa" w:w="2520"/>
            <w:shd w:fill="EAF3F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7365D"/>
                <w:sz w:val="17"/>
              </w:rPr>
              <w:t>Decision date</w:t>
            </w:r>
          </w:p>
        </w:tc>
        <w:tc>
          <w:tcPr>
            <w:tcW w:type="dxa" w:w="7560"/>
            <w:tcBorders>
              <w:bottom w:val="single" w:sz="8" w:color="6B7280"/>
            </w:tcBorders>
            <w:vAlign w:val="bottom"/>
          </w:tcPr>
          <w:p>
            <w:pPr>
              <w:spacing w:after="0"/>
            </w:pPr>
          </w:p>
        </w:tc>
      </w:tr>
      <w:tr>
        <w:trPr>
          <w:trHeight w:val="624"/>
        </w:trPr>
        <w:tc>
          <w:tcPr>
            <w:tcW w:type="dxa" w:w="2520"/>
            <w:shd w:fill="EAF3F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7365D"/>
                <w:sz w:val="17"/>
              </w:rPr>
              <w:t>Counsel initials</w:t>
            </w:r>
          </w:p>
        </w:tc>
        <w:tc>
          <w:tcPr>
            <w:tcW w:type="dxa" w:w="7560"/>
            <w:tcBorders>
              <w:bottom w:val="single" w:sz="8" w:color="6B7280"/>
            </w:tcBorders>
            <w:vAlign w:val="bottom"/>
          </w:tcPr>
          <w:p>
            <w:pPr>
              <w:spacing w:after="0"/>
            </w:pPr>
          </w:p>
        </w:tc>
      </w:tr>
      <w:tr>
        <w:trPr>
          <w:trHeight w:val="3515"/>
        </w:trPr>
        <w:tc>
          <w:tcPr>
            <w:tcW w:type="dxa" w:w="2520"/>
            <w:shd w:fill="EAF3F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7365D"/>
                <w:sz w:val="17"/>
              </w:rPr>
              <w:t>Conditions / follow-up</w:t>
            </w:r>
          </w:p>
        </w:tc>
        <w:tc>
          <w:tcPr>
            <w:tcW w:type="dxa" w:w="7560"/>
            <w:tcBorders>
              <w:bottom w:val="single" w:sz="8" w:color="6B7280"/>
            </w:tcBorders>
            <w:vAlign w:val="bottom"/>
          </w:tcPr>
          <w:p>
            <w:pPr>
              <w:spacing w:after="0"/>
            </w:pPr>
          </w:p>
        </w:tc>
      </w:tr>
    </w:tbl>
    <w:p>
      <w:pPr>
        <w:spacing w:after="60" w:line="240" w:lineRule="auto"/>
      </w:pPr>
      <w:r>
        <w:rPr>
          <w:rFonts w:ascii="Aptos" w:hAnsi="Aptos"/>
          <w:b w:val="0"/>
          <w:color w:val="1F1F1F"/>
          <w:sz w:val="17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3F6F8"/>
            <w:tcBorders>
              <w:top w:val="single" w:sz="4" w:color="C6CFD8"/>
              <w:left w:val="single" w:sz="4" w:color="C6CFD8"/>
              <w:bottom w:val="single" w:sz="4" w:color="C6CFD8"/>
              <w:right w:val="single" w:sz="4" w:color="C6CFD8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5B6B7A"/>
                <w:sz w:val="16"/>
              </w:rPr>
              <w:t>Analyst record: recommendation and factual reconciliation are complete on pages 1-3. This page records counsel's decision and any conditions or follow-up.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822" w:bottom="765" w:left="822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5"/>
      </w:rPr>
      <w:t>Gallowspring Associates counsel pack  |  Controlled analysis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5"/>
      </w:rPr>
      <w:t>ELMSWORTH FIELD SERVICES  |  FOXGLOVE RENEWAL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chart" Target="charts/chart1.xml"/><Relationship Id="rId13" Type="http://schemas.openxmlformats.org/officeDocument/2006/relationships/chart" Target="charts/chart2.xml"/><Relationship Id="rId14" Type="http://schemas.openxmlformats.org/officeDocument/2006/relationships/chart" Target="charts/chart3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Foxglove_Chart_Data_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Foxglove_Chart_Data_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Foxglove_Chart_Data_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t>Aligned rates | 30 Jun 2025 period end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Baseline - 03 Jul 2025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England and Wales (EW)</c:v>
                </c:pt>
                <c:pt idx="1">
                  <c:v>Scotland (SCT)</c:v>
                </c:pt>
                <c:pt idx="2">
                  <c:v>Overall (ALL)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16.666666666666668</c:v>
                </c:pt>
                <c:pt idx="1">
                  <c:v>13.636363636363637</c:v>
                </c:pt>
                <c:pt idx="2">
                  <c:v>15.714285714285714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Authorised restatement - 10 Jul 2025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England and Wales (EW)</c:v>
                </c:pt>
                <c:pt idx="1">
                  <c:v>Scotland (SCT)</c:v>
                </c:pt>
                <c:pt idx="2">
                  <c:v>Overall (ALL)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17.741935483870968</c:v>
                </c:pt>
                <c:pt idx="1">
                  <c:v>9.09090909090909</c:v>
                </c:pt>
                <c:pt idx="2">
                  <c:v>15.476190476190474</c:v>
                </c:pt>
              </c:numCache>
            </c:numRef>
          </c:val>
        </c:ser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Incidents per 100,000 exposure hours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t>Authorized count effects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Incident count effect</c:v>
                </c:pt>
              </c:strCache>
            </c:strRef>
          </c:tx>
          <c:cat>
            <c:strRef>
              <c:f>Sheet1!$A$2:$A$8</c:f>
              <c:strCache>
                <c:ptCount val="7"/>
                <c:pt idx="0">
                  <c:v>AUTH-OPEN-EW</c:v>
                </c:pt>
                <c:pt idx="1">
                  <c:v>AUTH-OPEN-SCT</c:v>
                </c:pt>
                <c:pt idx="2">
                  <c:v>AUTH-BASE-REV-03</c:v>
                </c:pt>
                <c:pt idx="3">
                  <c:v>AUTH-ADD-041</c:v>
                </c:pt>
                <c:pt idx="4">
                  <c:v>AUTH-WDR-017</c:v>
                </c:pt>
                <c:pt idx="5">
                  <c:v>AUTH-RECLASS-009</c:v>
                </c:pt>
                <c:pt idx="6">
                  <c:v>AUTH-EXP-022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3</c:v>
                </c:pt>
                <c:pt idx="4">
                  <c:v>-1</c:v>
                </c:pt>
                <c:pt idx="5">
                  <c:v>0</c:v>
                </c:pt>
                <c:pt idx="6">
                  <c:v>0</c:v>
                </c:pt>
              </c:numCache>
            </c:numRef>
          </c:val>
        </c:ser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Incidents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t>Authorized exposure-hour effects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Exposure-hour effect</c:v>
                </c:pt>
              </c:strCache>
            </c:strRef>
          </c:tx>
          <c:cat>
            <c:strRef>
              <c:f>Sheet1!$A$2:$A$8</c:f>
              <c:strCache>
                <c:ptCount val="7"/>
                <c:pt idx="0">
                  <c:v>AUTH-OPEN-EW</c:v>
                </c:pt>
                <c:pt idx="1">
                  <c:v>AUTH-OPEN-SCT</c:v>
                </c:pt>
                <c:pt idx="2">
                  <c:v>AUTH-BASE-REV-03</c:v>
                </c:pt>
                <c:pt idx="3">
                  <c:v>AUTH-ADD-041</c:v>
                </c:pt>
                <c:pt idx="4">
                  <c:v>AUTH-WDR-017</c:v>
                </c:pt>
                <c:pt idx="5">
                  <c:v>AUTH-RECLASS-009</c:v>
                </c:pt>
                <c:pt idx="6">
                  <c:v>AUTH-EXP-022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0.0</c:v>
                </c:pt>
                <c:pt idx="1">
                  <c:v>0.0</c:v>
                </c:pt>
                <c:pt idx="2">
                  <c:v>0.0</c:v>
                </c:pt>
                <c:pt idx="3">
                  <c:v>0.0</c:v>
                </c:pt>
                <c:pt idx="4">
                  <c:v>0.0</c:v>
                </c:pt>
                <c:pt idx="5">
                  <c:v>0.0</c:v>
                </c:pt>
                <c:pt idx="6">
                  <c:v>14000.0</c:v>
                </c:pt>
              </c:numCache>
            </c:numRef>
          </c:val>
        </c:ser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Exposure hours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