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Marchmont Confections Wholesale</w:t>
      </w:r>
    </w:p>
    <w:p>
      <w:pPr>
        <w:jc w:val="center"/>
      </w:pPr>
      <w:r>
        <w:t>VOLUME-DISCOUNT REVISION PACKET  |  NJ operation  |  prepared 24 February 2026</w:t>
      </w:r>
    </w:p>
    <w:p>
      <w:pPr>
        <w:spacing w:after="80"/>
      </w:pPr>
      <w:r>
        <w:rPr>
          <w:sz w:val="18"/>
        </w:rPr>
        <w:t>Working packet for owner sign-off. This packet replaces the February working draft only after the sales manager issues the signed schedule. Legal review: federal and New Jersey snapshot current through 15 February 2026 (Hartsmere Associates).</w:t>
      </w:r>
    </w:p>
    <w:p>
      <w:pPr>
        <w:pStyle w:val="Heading1"/>
      </w:pPr>
      <w:r>
        <w:t>1. Current draft excerpt — marked for replacement</w:t>
      </w:r>
    </w:p>
    <w:p>
      <w:pPr>
        <w:spacing w:after="80"/>
      </w:pPr>
      <w:r>
        <w:rPr>
          <w:sz w:val="18"/>
        </w:rPr>
        <w:t>“Net price” means our price after discounts and freight. Retailers buying 240 cases get 10%; big accounts get 15%. Freight support is $18 per pallet. A 2% quarterly rebate may apply. Sales may match or beat a competitor where needed. Retailers may advertise wholesale savings of up to 25%. Rushmere Council is a retailer example.</w:t>
      </w:r>
    </w:p>
    <w:p>
      <w:pPr>
        <w:spacing w:after="80"/>
      </w:pPr>
      <w:r>
        <w:rPr>
          <w:b/>
          <w:sz w:val="18"/>
        </w:rPr>
        <w:t>Review comments:</w:t>
      </w:r>
      <w:r>
        <w:rPr>
          <w:sz w:val="18"/>
        </w:rPr>
        <w:t xml:space="preserve"> bare net price has two meanings; replace the $18-per-pallet freight fact; say whether tiers are retroactive; state rebate base and timing; remove Council; bound competitive matching; preserve resale-pricing independence; use exact ad copy only; add signature, retention and escalation.</w:t>
      </w:r>
    </w:p>
    <w:p>
      <w:pPr>
        <w:pStyle w:val="Heading1"/>
      </w:pPr>
      <w:r>
        <w:t>2. Approved commercial facts</w:t>
      </w:r>
    </w:p>
    <w:p>
      <w:pPr>
        <w:spacing w:after="80"/>
      </w:pPr>
      <w:r>
        <w:rPr>
          <w:sz w:val="18"/>
        </w:rPr>
        <w:t>Scope and account facts: Sales are to New Jersey delivery addresses only. A qualifying retailer is an active grocery, specialty-food, pharmacy, or convenience-store account with a current resale certificate, buying covered goods for resale from its own retail location(s). Direct-to-consumer, marketplace, institutional, public-sector, distributor and non-resale accounts do not qualify. Rushmere Council buys for events and does not resell; it is expressly outside this retailer program.</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tcPr>
          <w:p>
            <w:r/>
            <w:r>
              <w:rPr>
                <w:b/>
                <w:sz w:val="17"/>
              </w:rPr>
              <w:t>Product ID</w:t>
            </w:r>
          </w:p>
        </w:tc>
        <w:tc>
          <w:tcPr>
            <w:tcW w:type="dxa" w:w="2091"/>
            <w:vAlign w:val="center"/>
          </w:tcPr>
          <w:p>
            <w:r/>
            <w:r>
              <w:rPr>
                <w:b/>
                <w:sz w:val="17"/>
              </w:rPr>
              <w:t>Covered product</w:t>
            </w:r>
          </w:p>
        </w:tc>
        <w:tc>
          <w:tcPr>
            <w:tcW w:type="dxa" w:w="2091"/>
            <w:vAlign w:val="center"/>
          </w:tcPr>
          <w:p>
            <w:r/>
            <w:r>
              <w:rPr>
                <w:b/>
                <w:sz w:val="17"/>
              </w:rPr>
              <w:t>Base wholesale</w:t>
            </w:r>
          </w:p>
        </w:tc>
        <w:tc>
          <w:tcPr>
            <w:tcW w:type="dxa" w:w="2091"/>
            <w:vAlign w:val="center"/>
          </w:tcPr>
          <w:p>
            <w:r/>
            <w:r>
              <w:rPr>
                <w:b/>
                <w:sz w:val="17"/>
              </w:rPr>
              <w:t>Bona fide MSRP</w:t>
            </w:r>
          </w:p>
        </w:tc>
        <w:tc>
          <w:tcPr>
            <w:tcW w:type="dxa" w:w="2091"/>
            <w:vAlign w:val="center"/>
          </w:tcPr>
          <w:p>
            <w:r/>
            <w:r>
              <w:rPr>
                <w:b/>
                <w:sz w:val="17"/>
              </w:rPr>
              <w:t>Status</w:t>
            </w:r>
          </w:p>
        </w:tc>
      </w:tr>
      <w:tr>
        <w:tc>
          <w:tcPr>
            <w:tcW w:type="dxa" w:w="2091"/>
            <w:vAlign w:val="center"/>
          </w:tcPr>
          <w:p>
            <w:r/>
            <w:r>
              <w:rPr>
                <w:b w:val="0"/>
                <w:sz w:val="17"/>
              </w:rPr>
              <w:t>MC-SCB-12</w:t>
            </w:r>
          </w:p>
        </w:tc>
        <w:tc>
          <w:tcPr>
            <w:tcW w:type="dxa" w:w="2091"/>
            <w:vAlign w:val="center"/>
          </w:tcPr>
          <w:p>
            <w:r/>
            <w:r>
              <w:rPr>
                <w:b w:val="0"/>
                <w:sz w:val="17"/>
              </w:rPr>
              <w:t>Sea-Salt Caramel Bites, 12-count display case</w:t>
            </w:r>
          </w:p>
        </w:tc>
        <w:tc>
          <w:tcPr>
            <w:tcW w:type="dxa" w:w="2091"/>
            <w:vAlign w:val="center"/>
          </w:tcPr>
          <w:p>
            <w:r/>
            <w:r>
              <w:rPr>
                <w:b w:val="0"/>
                <w:sz w:val="17"/>
              </w:rPr>
              <w:t>$40.00 per case</w:t>
            </w:r>
          </w:p>
        </w:tc>
        <w:tc>
          <w:tcPr>
            <w:tcW w:type="dxa" w:w="2091"/>
            <w:vAlign w:val="center"/>
          </w:tcPr>
          <w:p>
            <w:r/>
            <w:r>
              <w:rPr>
                <w:b w:val="0"/>
                <w:sz w:val="17"/>
              </w:rPr>
              <w:t>$5.99 each</w:t>
            </w:r>
          </w:p>
        </w:tc>
        <w:tc>
          <w:tcPr>
            <w:tcW w:type="dxa" w:w="2091"/>
            <w:vAlign w:val="center"/>
          </w:tcPr>
          <w:p>
            <w:r/>
            <w:r>
              <w:rPr>
                <w:b w:val="0"/>
                <w:sz w:val="17"/>
              </w:rPr>
              <w:t>eligible</w:t>
            </w:r>
          </w:p>
        </w:tc>
      </w:tr>
      <w:tr>
        <w:tc>
          <w:tcPr>
            <w:tcW w:type="dxa" w:w="2091"/>
            <w:vAlign w:val="center"/>
          </w:tcPr>
          <w:p>
            <w:r/>
            <w:r>
              <w:rPr>
                <w:b w:val="0"/>
                <w:sz w:val="17"/>
              </w:rPr>
              <w:t>MC-HTC-08</w:t>
            </w:r>
          </w:p>
        </w:tc>
        <w:tc>
          <w:tcPr>
            <w:tcW w:type="dxa" w:w="2091"/>
            <w:vAlign w:val="center"/>
          </w:tcPr>
          <w:p>
            <w:r/>
            <w:r>
              <w:rPr>
                <w:b w:val="0"/>
                <w:sz w:val="17"/>
              </w:rPr>
              <w:t>Heritage Truffle Collection, 8-count display case</w:t>
            </w:r>
          </w:p>
        </w:tc>
        <w:tc>
          <w:tcPr>
            <w:tcW w:type="dxa" w:w="2091"/>
            <w:vAlign w:val="center"/>
          </w:tcPr>
          <w:p>
            <w:r/>
            <w:r>
              <w:rPr>
                <w:b w:val="0"/>
                <w:sz w:val="17"/>
              </w:rPr>
              <w:t>$54.00 per case</w:t>
            </w:r>
          </w:p>
        </w:tc>
        <w:tc>
          <w:tcPr>
            <w:tcW w:type="dxa" w:w="2091"/>
            <w:vAlign w:val="center"/>
          </w:tcPr>
          <w:p>
            <w:r/>
            <w:r>
              <w:rPr>
                <w:b w:val="0"/>
                <w:sz w:val="17"/>
              </w:rPr>
              <w:t>$7.99 each</w:t>
            </w:r>
          </w:p>
        </w:tc>
        <w:tc>
          <w:tcPr>
            <w:tcW w:type="dxa" w:w="2091"/>
            <w:vAlign w:val="center"/>
          </w:tcPr>
          <w:p>
            <w:r/>
            <w:r>
              <w:rPr>
                <w:b w:val="0"/>
                <w:sz w:val="17"/>
              </w:rPr>
              <w:t>eligible</w:t>
            </w:r>
          </w:p>
        </w:tc>
      </w:tr>
      <w:tr>
        <w:tc>
          <w:tcPr>
            <w:tcW w:type="dxa" w:w="2091"/>
            <w:vAlign w:val="center"/>
          </w:tcPr>
          <w:p>
            <w:r/>
            <w:r>
              <w:rPr>
                <w:b w:val="0"/>
                <w:sz w:val="17"/>
              </w:rPr>
              <w:t>MC-CNC-10</w:t>
            </w:r>
          </w:p>
        </w:tc>
        <w:tc>
          <w:tcPr>
            <w:tcW w:type="dxa" w:w="2091"/>
            <w:vAlign w:val="center"/>
          </w:tcPr>
          <w:p>
            <w:r/>
            <w:r>
              <w:rPr>
                <w:b w:val="0"/>
                <w:sz w:val="17"/>
              </w:rPr>
              <w:t>Cocoa Nib Crisp Squares, 10-count display case</w:t>
            </w:r>
          </w:p>
        </w:tc>
        <w:tc>
          <w:tcPr>
            <w:tcW w:type="dxa" w:w="2091"/>
            <w:vAlign w:val="center"/>
          </w:tcPr>
          <w:p>
            <w:r/>
            <w:r>
              <w:rPr>
                <w:b w:val="0"/>
                <w:sz w:val="17"/>
              </w:rPr>
              <w:t>$25.00 per case</w:t>
            </w:r>
          </w:p>
        </w:tc>
        <w:tc>
          <w:tcPr>
            <w:tcW w:type="dxa" w:w="2091"/>
            <w:vAlign w:val="center"/>
          </w:tcPr>
          <w:p>
            <w:r/>
            <w:r>
              <w:rPr>
                <w:b w:val="0"/>
                <w:sz w:val="17"/>
              </w:rPr>
              <w:t>$3.99 each</w:t>
            </w:r>
          </w:p>
        </w:tc>
        <w:tc>
          <w:tcPr>
            <w:tcW w:type="dxa" w:w="2091"/>
            <w:vAlign w:val="center"/>
          </w:tcPr>
          <w:p>
            <w:r/>
            <w:r>
              <w:rPr>
                <w:b w:val="0"/>
                <w:sz w:val="17"/>
              </w:rPr>
              <w:t>eligible</w:t>
            </w:r>
          </w:p>
        </w:tc>
      </w:tr>
      <w:tr>
        <w:tc>
          <w:tcPr>
            <w:tcW w:type="dxa" w:w="2091"/>
            <w:vAlign w:val="center"/>
          </w:tcPr>
          <w:p>
            <w:r/>
            <w:r>
              <w:rPr>
                <w:b w:val="0"/>
                <w:sz w:val="17"/>
              </w:rPr>
              <w:t>MC-HLG-18</w:t>
            </w:r>
          </w:p>
        </w:tc>
        <w:tc>
          <w:tcPr>
            <w:tcW w:type="dxa" w:w="2091"/>
            <w:vAlign w:val="center"/>
          </w:tcPr>
          <w:p>
            <w:r/>
            <w:r>
              <w:rPr>
                <w:b w:val="0"/>
                <w:sz w:val="17"/>
              </w:rPr>
              <w:t>Holiday Gift Assortment, 18-count display case</w:t>
            </w:r>
          </w:p>
        </w:tc>
        <w:tc>
          <w:tcPr>
            <w:tcW w:type="dxa" w:w="2091"/>
            <w:vAlign w:val="center"/>
          </w:tcPr>
          <w:p>
            <w:r/>
            <w:r>
              <w:rPr>
                <w:b w:val="0"/>
                <w:sz w:val="17"/>
              </w:rPr>
              <w:t>$72.00 per case</w:t>
            </w:r>
          </w:p>
        </w:tc>
        <w:tc>
          <w:tcPr>
            <w:tcW w:type="dxa" w:w="2091"/>
            <w:vAlign w:val="center"/>
          </w:tcPr>
          <w:p>
            <w:r/>
            <w:r>
              <w:rPr>
                <w:b w:val="0"/>
                <w:sz w:val="17"/>
              </w:rPr>
              <w:t>$11.99 each</w:t>
            </w:r>
          </w:p>
        </w:tc>
        <w:tc>
          <w:tcPr>
            <w:tcW w:type="dxa" w:w="2091"/>
            <w:vAlign w:val="center"/>
          </w:tcPr>
          <w:p>
            <w:r/>
            <w:r>
              <w:rPr>
                <w:b w:val="0"/>
                <w:sz w:val="17"/>
              </w:rPr>
              <w:t>EXCLUDED—seasonal program</w:t>
            </w:r>
          </w:p>
        </w:tc>
      </w:tr>
    </w:tbl>
    <w:p>
      <w:pPr>
        <w:spacing w:after="80"/>
      </w:pPr>
      <w:r>
        <w:rPr>
          <w:sz w:val="18"/>
        </w:rPr>
        <w:t>The base wholesale amounts are merchandise list prices per display case, before invoice discount; they exclude freight, tax and non-merchandise charges. MSRP is Marchmont’s bona fide manufacturer-suggested retail comparison reference, not a required, minimum or suggested retail resale term for any retailer.</w:t>
      </w:r>
    </w:p>
    <w:tbl>
      <w:tblPr>
        <w:tblStyle w:val="TableGrid"/>
        <w:tblW w:type="auto" w:w="0"/>
        <w:jc w:val="center"/>
        <w:tblLook w:firstColumn="1" w:firstRow="1" w:lastColumn="0" w:lastRow="0" w:noHBand="0" w:noVBand="1" w:val="04A0"/>
      </w:tblPr>
      <w:tblGrid>
        <w:gridCol w:w="5227"/>
        <w:gridCol w:w="5227"/>
      </w:tblGrid>
      <w:tr>
        <w:tc>
          <w:tcPr>
            <w:tcW w:type="dxa" w:w="5227"/>
            <w:vAlign w:val="center"/>
          </w:tcPr>
          <w:p>
            <w:r/>
            <w:r>
              <w:rPr>
                <w:b/>
                <w:sz w:val="17"/>
              </w:rPr>
              <w:t>Quarterly completed eligible volume</w:t>
            </w:r>
          </w:p>
        </w:tc>
        <w:tc>
          <w:tcPr>
            <w:tcW w:type="dxa" w:w="5227"/>
            <w:vAlign w:val="center"/>
          </w:tcPr>
          <w:p>
            <w:r/>
            <w:r>
              <w:rPr>
                <w:b/>
                <w:sz w:val="17"/>
              </w:rPr>
              <w:t>Immediate invoice discount</w:t>
            </w:r>
          </w:p>
        </w:tc>
      </w:tr>
      <w:tr>
        <w:tc>
          <w:tcPr>
            <w:tcW w:type="dxa" w:w="5227"/>
            <w:vAlign w:val="center"/>
          </w:tcPr>
          <w:p>
            <w:r/>
            <w:r>
              <w:rPr>
                <w:b w:val="0"/>
                <w:sz w:val="17"/>
              </w:rPr>
              <w:t>1–239 completed eligible cases</w:t>
            </w:r>
          </w:p>
        </w:tc>
        <w:tc>
          <w:tcPr>
            <w:tcW w:type="dxa" w:w="5227"/>
            <w:vAlign w:val="center"/>
          </w:tcPr>
          <w:p>
            <w:r/>
            <w:r>
              <w:rPr>
                <w:b w:val="0"/>
                <w:sz w:val="17"/>
              </w:rPr>
              <w:t>5%</w:t>
            </w:r>
          </w:p>
        </w:tc>
      </w:tr>
      <w:tr>
        <w:tc>
          <w:tcPr>
            <w:tcW w:type="dxa" w:w="5227"/>
            <w:vAlign w:val="center"/>
          </w:tcPr>
          <w:p>
            <w:r/>
            <w:r>
              <w:rPr>
                <w:b w:val="0"/>
                <w:sz w:val="17"/>
              </w:rPr>
              <w:t>240–599 completed eligible cases</w:t>
            </w:r>
          </w:p>
        </w:tc>
        <w:tc>
          <w:tcPr>
            <w:tcW w:type="dxa" w:w="5227"/>
            <w:vAlign w:val="center"/>
          </w:tcPr>
          <w:p>
            <w:r/>
            <w:r>
              <w:rPr>
                <w:b w:val="0"/>
                <w:sz w:val="17"/>
              </w:rPr>
              <w:t>10%</w:t>
            </w:r>
          </w:p>
        </w:tc>
      </w:tr>
      <w:tr>
        <w:tc>
          <w:tcPr>
            <w:tcW w:type="dxa" w:w="5227"/>
            <w:vAlign w:val="center"/>
          </w:tcPr>
          <w:p>
            <w:r/>
            <w:r>
              <w:rPr>
                <w:b w:val="0"/>
                <w:sz w:val="17"/>
              </w:rPr>
              <w:t>600 or more completed eligible cases</w:t>
            </w:r>
          </w:p>
        </w:tc>
        <w:tc>
          <w:tcPr>
            <w:tcW w:type="dxa" w:w="5227"/>
            <w:vAlign w:val="center"/>
          </w:tcPr>
          <w:p>
            <w:r/>
            <w:r>
              <w:rPr>
                <w:b w:val="0"/>
                <w:sz w:val="17"/>
              </w:rPr>
              <w:t>15%</w:t>
            </w:r>
          </w:p>
        </w:tc>
      </w:tr>
    </w:tbl>
    <w:p>
      <w:pPr>
        <w:spacing w:after="80"/>
      </w:pPr>
      <w:r>
        <w:rPr>
          <w:sz w:val="18"/>
        </w:rPr>
        <w:t>Approved tier method: measurement is each calendar quarter, from 12:00 a.m. on its first day through 11:59 p.m. on its last day, based on completed eligible case purchases. The highest tier reached applies retroactively to all completed eligible case purchases in that same quarter. Original shipments invoice at the tier then established by quarter-to-date completed volume; after quarter close, the difference needed to apply the highest earned tier to earlier eligible purchases is a volume credit. Returns, cancellations and credited units are removed from volume and all related values.</w:t>
      </w:r>
    </w:p>
    <w:p>
      <w:pPr>
        <w:spacing w:after="80"/>
      </w:pPr>
      <w:r>
        <w:rPr>
          <w:sz w:val="18"/>
        </w:rPr>
        <w:t>Aggregation: purchases may aggregate only under one Marchmont billing account for locations owned by the same legal retailer and enrolled under that account before the quarter begins. Do not aggregate separately billed accounts, affiliates, franchises, buying groups or different legal entities.</w:t>
      </w:r>
    </w:p>
    <w:p>
      <w:pPr>
        <w:spacing w:after="80"/>
      </w:pPr>
      <w:r>
        <w:rPr>
          <w:sz w:val="18"/>
        </w:rPr>
        <w:t>Quarterly rebate: after an account completes at least 480 eligible cases in the quarter, it earns 2.0% of its final invoice-net merchandise purchases for that quarter. The base includes only final invoice-net merchandise for eligible covered cases after the applicable tier credit; it excludes freight allowances, freight charges, taxes, deposits, returns, credits and all non-merchandise amounts. Finance calculates by the 10th business day after quarter end and issues a credit memo by the 15th business day. Later returns, reversals, shortfalls or prior-credit errors are corrected on the next account statement or credit memo.</w:t>
      </w:r>
    </w:p>
    <w:p>
      <w:pPr>
        <w:spacing w:after="80"/>
      </w:pPr>
      <w:r>
        <w:rPr>
          <w:sz w:val="18"/>
        </w:rPr>
        <w:t>Changed freight fact (approved 15 February 2026): effective for eligible cases shipped on or after 15 February 2026, Marchmont grants a separate $1.20 freight allowance per eligible shipped display case on qualifying retailer deliveries of 24 or more eligible cases to one New Jersey receiving location. It is a credit/allowance, not a change to merchandise list price, and is not included in the rebate base. The obsolete $18-per-pallet treatment is withdrawn.</w:t>
      </w:r>
    </w:p>
    <w:p>
      <w:pPr>
        <w:pStyle w:val="Heading1"/>
      </w:pPr>
      <w:r>
        <w:t>3. Evidence, controls and legal-review note</w:t>
      </w:r>
    </w:p>
    <w:p>
      <w:pPr>
        <w:spacing w:after="80"/>
      </w:pPr>
      <w:r>
        <w:rPr>
          <w:sz w:val="18"/>
        </w:rPr>
        <w:t>Cost evidence: the 10 February routing study supports only a $0.45-per-case handling differential for a full 60-case pallet delivered to one New Jersey receiving dock. It may be used only for that documented delivery condition, separately identified, through 31 December 2026; it does not justify any regular-tier rate or other differential.</w:t>
      </w:r>
    </w:p>
    <w:p>
      <w:pPr>
        <w:spacing w:after="80"/>
      </w:pPr>
      <w:r>
        <w:rPr>
          <w:sz w:val="18"/>
        </w:rPr>
        <w:t>Verified competition record: Cedar Grove Candy Pantry (Marchmont billing account 21877) received a written 3 March offer from Larkspur Sweets for the comparable MC-SCB-12 product at $31.50 per case, for up to 180 cases delivered to Cedar Grove, NJ, valid through 7 March 2026. The account normally falls in the 5% tier. This supports only a good-faith response to that specific offer, not generalized undercutting. Sales Operations and Compliance must approve and retain the written offer, competitor, comparable product, price, affected customer and market facts before use. Any adjustment is limited to MC-SCB-12, Cedar Grove, $31.50 per case, the documented quantity, and the offer’s verified duration; it does not alter a published tier or entitle another retailer to the exception.</w:t>
      </w:r>
    </w:p>
    <w:p>
      <w:pPr>
        <w:spacing w:after="80"/>
      </w:pPr>
      <w:r>
        <w:rPr>
          <w:sz w:val="18"/>
        </w:rPr>
        <w:t>Availability and conduct: publish the regular schedule to every qualifying account and apply objective conditions consistently. Document actual commercial distinctions; the availability, cost and competition records are bounded factual support, not assurance that every differential is lawful. Retailers independently set advertised and resale prices. Representatives may not condition a wholesale term on any advertised or resale price, promise a nonstandard term, or publish a changed claim. Escalate disputed calculations, changed competitive facts, suspected misuse, and advertising changes to Sales Operations and Compliance before action. Retain qualification, cost-support, true-up and competitive-offer records for 4 years.</w:t>
      </w:r>
    </w:p>
    <w:p>
      <w:pPr>
        <w:spacing w:after="80"/>
      </w:pPr>
      <w:r>
        <w:rPr>
          <w:sz w:val="18"/>
        </w:rPr>
        <w:t>Hartsmere review note: The schedule was reviewed against the federal Robinson-Patman price-discrimination framework, including functional availability and the limited good-faith meeting-competition path, as well as relevant New Jersey advertising restrictions and federal deceptive-pricing principles for MSRP comparisons. This is a review of stated facts as of 15 February 2026, not court, regulator or Rushmere Council approval or endorsement.</w:t>
      </w:r>
    </w:p>
    <w:p>
      <w:pPr>
        <w:pStyle w:val="Heading1"/>
      </w:pPr>
      <w:r>
        <w:t>4. Advertising substantiation — exact released wording</w:t>
      </w:r>
    </w:p>
    <w:p>
      <w:pPr>
        <w:spacing w:after="80"/>
      </w:pPr>
      <w:r>
        <w:rPr>
          <w:sz w:val="18"/>
        </w:rPr>
        <w:t>MSRP files dated 12 February 2026 and participating-retailer confirmations support the following comparisons only. They do not establish a retailer’s former price, prevailing market price, government approval, market value, or a consumer saving derived from wholesale economics. Any change in price, percentage, product, period or material qualification requires fresh substantiation and Sales Operations and Compliance approval.</w:t>
      </w:r>
    </w:p>
    <w:tbl>
      <w:tblPr>
        <w:tblStyle w:val="TableGrid"/>
        <w:tblW w:type="auto" w:w="0"/>
        <w:jc w:val="center"/>
        <w:tblLook w:firstColumn="1" w:firstRow="1" w:lastColumn="0" w:lastRow="0" w:noHBand="0" w:noVBand="1" w:val="04A0"/>
      </w:tblPr>
      <w:tblGrid>
        <w:gridCol w:w="5227"/>
        <w:gridCol w:w="5227"/>
      </w:tblGrid>
      <w:tr>
        <w:tc>
          <w:tcPr>
            <w:tcW w:type="dxa" w:w="5227"/>
            <w:vAlign w:val="center"/>
          </w:tcPr>
          <w:p>
            <w:r/>
            <w:r>
              <w:rPr>
                <w:b/>
                <w:sz w:val="17"/>
              </w:rPr>
              <w:t>Scenario</w:t>
            </w:r>
          </w:p>
        </w:tc>
        <w:tc>
          <w:tcPr>
            <w:tcW w:type="dxa" w:w="5227"/>
            <w:vAlign w:val="center"/>
          </w:tcPr>
          <w:p>
            <w:r/>
            <w:r>
              <w:rPr>
                <w:b/>
                <w:sz w:val="17"/>
              </w:rPr>
              <w:t>Exact approved print wording</w:t>
            </w:r>
          </w:p>
        </w:tc>
      </w:tr>
      <w:tr>
        <w:tc>
          <w:tcPr>
            <w:tcW w:type="dxa" w:w="5227"/>
            <w:vAlign w:val="center"/>
          </w:tcPr>
          <w:p>
            <w:r/>
            <w:r>
              <w:rPr>
                <w:b w:val="0"/>
                <w:sz w:val="17"/>
              </w:rPr>
              <w:t>SEA-SALT CARAMEL BITES PRINT</w:t>
            </w:r>
          </w:p>
        </w:tc>
        <w:tc>
          <w:tcPr>
            <w:tcW w:type="dxa" w:w="5227"/>
            <w:vAlign w:val="center"/>
          </w:tcPr>
          <w:p>
            <w:r/>
            <w:r>
              <w:rPr>
                <w:b w:val="0"/>
                <w:sz w:val="17"/>
              </w:rPr>
              <w:t>Save 20% off the manufacturer’s suggested retail price of Marchmont Sea-Salt Caramel Bites (12-count): advertised price $4.79; MSRP $5.99. At participating retailers in New Jersey, 15 February–31 March 2026, while supplies last.</w:t>
            </w:r>
          </w:p>
        </w:tc>
      </w:tr>
      <w:tr>
        <w:tc>
          <w:tcPr>
            <w:tcW w:type="dxa" w:w="5227"/>
            <w:vAlign w:val="center"/>
          </w:tcPr>
          <w:p>
            <w:r/>
            <w:r>
              <w:rPr>
                <w:b w:val="0"/>
                <w:sz w:val="17"/>
              </w:rPr>
              <w:t>HERITAGE TRUFFLE PRINT</w:t>
            </w:r>
          </w:p>
        </w:tc>
        <w:tc>
          <w:tcPr>
            <w:tcW w:type="dxa" w:w="5227"/>
            <w:vAlign w:val="center"/>
          </w:tcPr>
          <w:p>
            <w:r/>
            <w:r>
              <w:rPr>
                <w:b w:val="0"/>
                <w:sz w:val="17"/>
              </w:rPr>
              <w:t>Save 15% off the manufacturer’s suggested retail price of Marchmont Heritage Truffle Collection (8-count): advertised price $6.79; MSRP $7.99. At participating retailers in New Jersey, 15 February–31 March 2026, while supplies last.</w:t>
            </w:r>
          </w:p>
        </w:tc>
      </w:tr>
      <w:tr>
        <w:tc>
          <w:tcPr>
            <w:tcW w:type="dxa" w:w="5227"/>
            <w:vAlign w:val="center"/>
          </w:tcPr>
          <w:p>
            <w:r/>
            <w:r>
              <w:rPr>
                <w:b w:val="0"/>
                <w:sz w:val="17"/>
              </w:rPr>
              <w:t>PARTICIPATING RANGE PRINT</w:t>
            </w:r>
          </w:p>
        </w:tc>
        <w:tc>
          <w:tcPr>
            <w:tcW w:type="dxa" w:w="5227"/>
            <w:vAlign w:val="center"/>
          </w:tcPr>
          <w:p>
            <w:r/>
            <w:r>
              <w:rPr>
                <w:b w:val="0"/>
                <w:sz w:val="17"/>
              </w:rPr>
              <w:t>Save up to 25% off the manufacturer’s suggested retail price on participating Marchmont confection items: Sea-Salt Caramel Bites (12-count), advertised at $4.79 (MSRP $5.99); Heritage Truffle Collection (8-count), advertised at $6.79 (MSRP $7.99); and Cocoa Nib Crisp Squares (10-count), advertised at $2.99 (MSRP $3.99). Maximum applies to Cocoa Nib Crisp Squares only. At participating retailers in New Jersey, 15 February–31 March 2026, while supplies last.</w:t>
            </w:r>
          </w:p>
        </w:tc>
      </w:tr>
    </w:tbl>
    <w:p>
      <w:pPr>
        <w:spacing w:after="80"/>
      </w:pPr>
      <w:r>
        <w:rPr>
          <w:sz w:val="18"/>
        </w:rPr>
        <w:t>The range claim’s 25% maximum is achieved only by Cocoa Nib Crisp Squares: ($3.99 − $2.99) ÷ $3.99 = 25.06%, stated as 25% under ordinary cent rounding. Sea-Salt: ($5.99 − $4.79) ÷ $5.99 = 20.03%, stated as 20%. Heritage: ($7.99 − $6.79) ÷ $7.99 = 15.02%, stated as 15%.</w:t>
      </w:r>
    </w:p>
    <w:p>
      <w:pPr>
        <w:spacing w:after="80"/>
      </w:pPr>
      <w:r>
        <w:rPr>
          <w:sz w:val="18"/>
        </w:rPr>
        <w:t>Owner comment: authorize Ibrahim Rasmussen, Sales Manager, to issue and electronically sign the revised schedule in March 2026 after these comments are incorporated.</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Marchmont internal working packet  •  Hartsmere review materials  •  24 Feb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