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Reasonable Compensation Study</w:t>
      </w:r>
    </w:p>
    <w:p>
      <w:pPr>
        <w:pStyle w:val="Subtitle"/>
      </w:pPr>
      <w:r>
        <w:t>To: Helena Crowther, Partner | From: Bohdan Ekstrom, Senior Accountant | Date: 25 August 2026</w:t>
      </w:r>
    </w:p>
    <w:p>
      <w:pPr>
        <w:spacing w:after="80"/>
      </w:pPr>
      <w:r>
        <w:t>Subject: Imani Sinclair — Sunderly Collective; Wardenby School District engagement review</w:t>
      </w:r>
    </w:p>
    <w:p>
      <w:pPr>
        <w:pStyle w:val="Heading1"/>
      </w:pPr>
      <w:r>
        <w:t>Conclusion for review</w:t>
      </w:r>
    </w:p>
    <w:p>
      <w:pPr>
        <w:spacing w:after="80"/>
      </w:pPr>
      <w:r>
        <w:t>Based solely on the supplied evidence and compensation review guidance, the selected reasonable annual salary range is $185,000 to $205,632. The median adjusted annual compensation is $199,956 as a central reference, not a required point estimate. This recommendation uses the mixed operating-principal interpretation and the three selected observations OP-01 through OP-03. It is a partner-review workpaper, not a legal or tax determination.</w:t>
      </w:r>
    </w:p>
    <w:p>
      <w:pPr>
        <w:pStyle w:val="Heading1"/>
      </w:pPr>
      <w:r>
        <w:t>Sourced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472"/>
            <w:shd w:fill="1F4E78"/>
          </w:tcPr>
          <w:p>
            <w:r>
              <w:rPr>
                <w:b/>
                <w:color w:val="FFFFFF"/>
                <w:sz w:val="16"/>
              </w:rPr>
              <w:t>Fact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6"/>
              </w:rPr>
              <w:t>Source basis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Imani Sinclair received $78,000 of annual W-2 salary and $312,000 of annual shareholder distributions for fiscal year 2025.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owner_compensation_evidence.xlsx, Owner facts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Imani leads the Wardenby School District account (project scoping, client delivery, and engagement decisions) and runs Sunderly Collective operations, staff oversight, business development, and firm decisions.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owner_compensation_evidence.xlsx, Owner facts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Sunderly Collective is in Lakeview Metro and has 18 Employees.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owner_compensation_evidence.xlsx, Owner facts</w:t>
            </w:r>
          </w:p>
        </w:tc>
      </w:tr>
    </w:tbl>
    <w:p>
      <w:pPr>
        <w:spacing w:after="0"/>
      </w:pPr>
    </w:p>
    <w:p>
      <w:pPr>
        <w:pStyle w:val="Heading1"/>
      </w:pPr>
      <w:r>
        <w:t>Comparable interpretation and selection</w:t>
      </w:r>
    </w:p>
    <w:p>
      <w:pPr>
        <w:spacing w:after="80"/>
      </w:pPr>
      <w:r>
        <w:t>Professional judgment: The mixed operating-principal reading drives the range. It fits both duty dimensions: Imani is a project-principal for the Wardenby School District account and also has firm-management responsibilities. The narrower project-principal observations PP-01 through PP-03 are retained in compensation_support.xlsx as a defensible alternative, but are not averaged into the recommendation because their supplied role description says they do not direct firm-wide operations.</w:t>
      </w:r>
    </w:p>
    <w:p>
      <w:pPr>
        <w:pStyle w:val="Heading1"/>
      </w:pPr>
      <w:r>
        <w:t>Calculation and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6"/>
              </w:rPr>
              <w:t>Selected observation</w:t>
            </w:r>
          </w:p>
        </w:tc>
        <w:tc>
          <w:tcPr>
            <w:tcW w:type="dxa" w:w="1800"/>
            <w:shd w:fill="1F4E78"/>
          </w:tcPr>
          <w:p>
            <w:r>
              <w:rPr>
                <w:b/>
                <w:color w:val="FFFFFF"/>
                <w:sz w:val="16"/>
              </w:rPr>
              <w:t>Reported annual principal pay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  <w:sz w:val="16"/>
              </w:rPr>
              <w:t>Applied factors (guidance order)</w:t>
            </w:r>
          </w:p>
        </w:tc>
        <w:tc>
          <w:tcPr>
            <w:tcW w:type="dxa" w:w="1800"/>
            <w:shd w:fill="1F4E78"/>
          </w:tcPr>
          <w:p>
            <w:r>
              <w:rPr>
                <w:b/>
                <w:color w:val="FFFFFF"/>
                <w:sz w:val="16"/>
              </w:rPr>
              <w:t>Adjusted annual compensation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OP-01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$185,000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6"/>
              </w:rPr>
              <w:t>Lakeview Metro; 15 Employees; distributions not included: 1.00 × 1.00 × 1.00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$185,000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OP-02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$226,400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6"/>
              </w:rPr>
              <w:t>Capital Metro and 28 Employees; distributions not included: 0.92 × 0.96 × 1.00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$199,956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6"/>
              </w:rPr>
              <w:t>OP-03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$252,000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sz w:val="16"/>
              </w:rPr>
              <w:t>Lakeview Metro and 45 Employees; included distributions: 1.00 × 0.96 × 0.85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sz w:val="16"/>
              </w:rPr>
              <w:t>$205,632</w:t>
            </w:r>
          </w:p>
        </w:tc>
      </w:tr>
    </w:tbl>
    <w:p>
      <w:pPr>
        <w:spacing w:after="0"/>
      </w:pPr>
    </w:p>
    <w:p>
      <w:pPr>
        <w:spacing w:after="80"/>
      </w:pPr>
      <w:r>
        <w:t>The guidance directs region, firm-size, and distribution-inclusion adjustments only when a row’s own source attributes trigger them, in that order. The 0.85 factor removes the extract’s standardized distribution component from OP-03 before salary comparison. It does not convert Imani’s $312,000 shareholder distributions into salary; those remain separately reported owner-compensation facts.</w:t>
      </w:r>
    </w:p>
    <w:p>
      <w:pPr>
        <w:spacing w:after="80"/>
      </w:pPr>
      <w:r>
        <w:t>Applying the guidance range rule to OP-01–OP-03, the lowest adjusted annual compensation produces the $185,000 annual salary lower bound and the highest produces the $205,632 annual salary upper bound. See compensation_support.xlsx, “Comparable observations and normalization” and “Guidance mapping and selected range.”</w:t>
      </w:r>
    </w:p>
    <w:p>
      <w:pPr>
        <w:pStyle w:val="Heading1"/>
      </w:pPr>
      <w:r>
        <w:t>Assumptions, limitations, and review point</w:t>
      </w:r>
    </w:p>
    <w:p>
      <w:pPr>
        <w:spacing w:after="80"/>
      </w:pPr>
      <w:r>
        <w:t>Assumption / judgment: The evidence supplies no current-year time allocation; no allocation percentage or blended role calculation was invented. The selected mixed operating-principal role is based on the stated responsibilities, not an assumed split of hours.</w:t>
      </w:r>
    </w:p>
    <w:p>
      <w:pPr>
        <w:spacing w:after="80"/>
      </w:pPr>
      <w:r>
        <w:t>Limitation: The study uses only owner_compensation_evidence.xlsx and compensation_review_guidance.docx. The side-by-side “Fulfillment activity — Q3” table is unrelated operational material and is excluded from every adjustment and range input. Its pack, shipment, sale, and unit-price fields are preserved in the support schedule only as an excluded source extract.</w:t>
      </w:r>
    </w:p>
    <w:p>
      <w:pPr>
        <w:spacing w:after="80"/>
      </w:pPr>
      <w:r>
        <w:t>Principal review risk: defensibility depends on whether the documented Wardenby project-principal work and ongoing firm-management duties remain representative of the review period. Obtain any contemporaneous time or responsibility records if available; do not use this study to imply a determination beyond the supplied review scope.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