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30"/>
        </w:rPr>
        <w:t>TARNBECK HYDRAULICS</w:t>
      </w:r>
    </w:p>
    <w:p>
      <w:pPr>
        <w:spacing w:after="80"/>
        <w:jc w:val="center"/>
      </w:pPr>
      <w:r>
        <w:rPr>
          <w:b/>
          <w:sz w:val="21"/>
        </w:rPr>
        <w:t>INBOUND SUPPLY CONFIGURATION PROPOSAL — CAST MANIFOLD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85"/>
        <w:gridCol w:w="2685"/>
        <w:gridCol w:w="2685"/>
        <w:gridCol w:w="2685"/>
      </w:tblGrid>
      <w:tr>
        <w:tc>
          <w:tcPr>
            <w:tcW w:type="dxa" w:w="2685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To</w:t>
            </w:r>
          </w:p>
        </w:tc>
        <w:tc>
          <w:tcPr>
            <w:tcW w:type="dxa" w:w="26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Lieselotte Bruhn; Legal Counsel &amp; Contracting Stakeholders</w:t>
            </w:r>
          </w:p>
        </w:tc>
        <w:tc>
          <w:tcPr>
            <w:tcW w:type="dxa" w:w="2685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From</w:t>
            </w:r>
          </w:p>
        </w:tc>
        <w:tc>
          <w:tcPr>
            <w:tcW w:type="dxa" w:w="26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Joaquin Kirchner, Senior Buyer</w:t>
            </w:r>
          </w:p>
        </w:tc>
      </w:tr>
      <w:tr>
        <w:tc>
          <w:tcPr>
            <w:tcW w:type="dxa" w:w="2685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Date</w:t>
            </w:r>
          </w:p>
        </w:tc>
        <w:tc>
          <w:tcPr>
            <w:tcW w:type="dxa" w:w="26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20 August 2026</w:t>
            </w:r>
          </w:p>
        </w:tc>
        <w:tc>
          <w:tcPr>
            <w:tcW w:type="dxa" w:w="2685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Decision window</w:t>
            </w:r>
          </w:p>
        </w:tc>
        <w:tc>
          <w:tcPr>
            <w:tcW w:type="dxa" w:w="26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Annual contract round closes in 10 business days</w:t>
            </w:r>
          </w:p>
        </w:tc>
      </w:tr>
    </w:tbl>
    <w:p>
      <w:pPr>
        <w:spacing w:before="80" w:after="40"/>
      </w:pPr>
      <w:r>
        <w:rPr>
          <w:b/>
        </w:rPr>
        <w:t xml:space="preserve">Decision requested. </w:t>
      </w:r>
      <w:r>
        <w:t>Authorize one bounded sea-freight configuration for Vantridge Works and Goldfinch Foundry, subject to the commercial confirmations below. This is procurement planning, not legal advice.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42"/>
            <w:shd w:fill="EAF2F8"/>
          </w:tcPr>
          <w:p>
            <w:pPr>
              <w:spacing w:after="20"/>
            </w:pPr>
            <w:r>
              <w:rPr>
                <w:b/>
                <w:color w:val="1F4E79"/>
                <w:sz w:val="18"/>
              </w:rPr>
              <w:t>RECOMMENDED CONFIGURATION (ONE CHOICE)</w:t>
            </w:r>
          </w:p>
          <w:p>
            <w:pPr>
              <w:spacing w:after="0"/>
            </w:pPr>
            <w:r>
              <w:rPr>
                <w:b/>
              </w:rPr>
              <w:t xml:space="preserve">Incoterm: </w:t>
            </w:r>
            <w:r>
              <w:t xml:space="preserve">FCA Vantridge Works export handover point, supplier site — Incoterms® 2020 (exact site address in the purchase order). </w:t>
            </w:r>
            <w:r>
              <w:rPr>
                <w:b/>
              </w:rPr>
              <w:t xml:space="preserve">Order quantity: </w:t>
            </w:r>
            <w:r>
              <w:t xml:space="preserve">300 cast manifolds per ocean replenishment. </w:t>
            </w:r>
            <w:r>
              <w:rPr>
                <w:b/>
              </w:rPr>
              <w:t xml:space="preserve">Stocking point: </w:t>
            </w:r>
            <w:r>
              <w:t xml:space="preserve">Tarnbeck Regional 3PL Stock Point (near the plant); safety stock remains there. </w:t>
            </w:r>
            <w:r>
              <w:rPr>
                <w:b/>
              </w:rPr>
              <w:t xml:space="preserve">Safety stock: </w:t>
            </w:r>
            <w:r>
              <w:t>120 manifolds at the 3PL, released only against a plant requirement.</w:t>
            </w:r>
          </w:p>
        </w:tc>
      </w:tr>
    </w:tbl>
    <w:p>
      <w:pPr>
        <w:pStyle w:val="Heading1"/>
      </w:pPr>
      <w:r>
        <w:t>Why this configuration fits the stated boundary</w:t>
      </w:r>
    </w:p>
    <w:p>
      <w:pPr>
        <w:spacing w:after="40"/>
      </w:pPr>
      <w:r>
        <w:rPr>
          <w:b/>
        </w:rPr>
        <w:t xml:space="preserve">Demand basis. </w:t>
      </w:r>
      <w:r>
        <w:t>Annual demand is 2,400 manifolds = 200 per 30-day month (about 6.67/day). Normal sea transit is 35 days; the possible additional delay is 10 days, so the exposed planning window is up to 45 days. Air is 7 days and is retained only as an emergency contingency; its rate and availability are not supplied.</w:t>
      </w:r>
    </w:p>
    <w:p>
      <w:pPr>
        <w:spacing w:after="40"/>
      </w:pPr>
      <w:r>
        <w:rPr>
          <w:b/>
        </w:rPr>
        <w:t xml:space="preserve">Inventory and cash test. </w:t>
      </w:r>
      <w:r>
        <w:t>The 300-unit order-cycle quantity is distinct from the 120-unit safety stock. If both are committed purchase-value inventory, exposure is (300 + 120) × $240 = $100,800, below Treasury’s $180,000 cap by $79,200. The 300-unit ocean receipt is below the existing dock’s 400-unit maximum; a 600-unit full-container receipt would exceed it by 200 units.</w:t>
      </w:r>
    </w:p>
    <w:p>
      <w:pPr>
        <w:spacing w:after="40"/>
      </w:pPr>
      <w:r>
        <w:rPr>
          <w:b/>
        </w:rPr>
        <w:t xml:space="preserve">Service and operating control. </w:t>
      </w:r>
      <w:r>
        <w:t>The 120-unit buffer is approximately 18 days of average demand (120 ÷ 6.67), a bounded response to the 35-day sea lead time plus the possible 10-day delay—not a statistically optimal service claim. The 3PL receives the ocean lot, reports on-hand and aged units daily, and releases only scheduled quantities against a Tarnbeck production signal. A dock appointment and split-release instruction prevent an unplanned surge at the plant. Review the 120-unit assumption if two consecutive receipts exceed 45 days, or if rolling 90-day demand moves more than 15% from 2,400 annualized.</w:t>
      </w:r>
    </w:p>
    <w:p>
      <w:pPr>
        <w:pStyle w:val="Heading1"/>
      </w:pPr>
      <w:r>
        <w:t>Commercial and Incoterms® 2020 frame</w:t>
      </w:r>
    </w:p>
    <w:p>
      <w:pPr>
        <w:spacing w:after="40"/>
      </w:pPr>
      <w:r>
        <w:rPr>
          <w:b/>
        </w:rPr>
        <w:t xml:space="preserve">FCA is a delivery rule set, not a freight abbreviation. </w:t>
      </w:r>
      <w:r>
        <w:t>At the named Vantridge Works export handover point, Vantridge makes the goods available/handles the agreed handover; Tarnbeck (or its nominated carrier) arranges main carriage. Risk transfers at the FCA delivery event, while title/ownership, payment timing, and acceptance remain separate contract terms. Insurance is not presumed by FCA and must be separately confirmed. Freight, brokerage, duty, storage and other landed-cost elements remain visible as separate should-cost fields; no rate is invented here.</w:t>
      </w:r>
    </w:p>
    <w:p>
      <w:pPr>
        <w:spacing w:after="40"/>
      </w:pPr>
      <w:r>
        <w:rPr>
          <w:b/>
        </w:rPr>
        <w:t xml:space="preserve">United States and Germany. </w:t>
      </w:r>
      <w:r>
        <w:t>The US and German operating entities may have different importer-of-record, customs, tax, product-regulatory and recordkeeping duties. Incoterms® 2020 does not decide tariff classification, duty/tax rates, governing law, title or every customs obligation. Counsel must confirm contracting entities, governing law, named place, enforceability and importer/customs arrangement for each flow. This memo assumes none of those facts.</w:t>
      </w:r>
    </w:p>
    <w:p>
      <w:pPr>
        <w:pStyle w:val="Heading1"/>
      </w:pPr>
      <w:r>
        <w:t>Alternatives tested and bounded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81"/>
        <w:gridCol w:w="3581"/>
        <w:gridCol w:w="3581"/>
      </w:tblGrid>
      <w:tr>
        <w:trPr>
          <w:tblHeader w:val="true"/>
        </w:trPr>
        <w:tc>
          <w:tcPr>
            <w:tcW w:type="dxa" w:w="3581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Alternative</w:t>
            </w:r>
          </w:p>
        </w:tc>
        <w:tc>
          <w:tcPr>
            <w:tcW w:type="dxa" w:w="3581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Why credible</w:t>
            </w:r>
          </w:p>
        </w:tc>
        <w:tc>
          <w:tcPr>
            <w:tcW w:type="dxa" w:w="3581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Why not base decision</w:t>
            </w:r>
          </w:p>
        </w:tc>
      </w:tr>
      <w:tr>
        <w:tc>
          <w:tcPr>
            <w:tcW w:type="dxa" w:w="358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sz w:val="14"/>
              </w:rPr>
              <w:t>600-unit full-container to plant</w:t>
            </w:r>
          </w:p>
        </w:tc>
        <w:tc>
          <w:tcPr>
            <w:tcW w:type="dxa" w:w="358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Common “full-container is cheapest” rule of thumb; 600 × $240 = $144,000 purchase value.</w:t>
            </w:r>
          </w:p>
        </w:tc>
        <w:tc>
          <w:tcPr>
            <w:tcW w:type="dxa" w:w="358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Exceeds the 400-unit dock by 200; with 120 safety stock, $172,800 leaves little cap room for unquoted freight/duty/storage. Density savings can be lost to capacity and total landed cost.</w:t>
            </w:r>
          </w:p>
        </w:tc>
      </w:tr>
      <w:tr>
        <w:tc>
          <w:tcPr>
            <w:tcW w:type="dxa" w:w="358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sz w:val="14"/>
              </w:rPr>
              <w:t>300 units under DDP</w:t>
            </w:r>
          </w:p>
        </w:tc>
        <w:tc>
          <w:tcPr>
            <w:tcW w:type="dxa" w:w="358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Supplier-managed carriage/import can simplify handoff.</w:t>
            </w:r>
          </w:p>
        </w:tc>
        <w:tc>
          <w:tcPr>
            <w:tcW w:type="dxa" w:w="358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DDP can bundle freight, duty and brokerage, reducing freight visibility; it does not settle title, payment, governing law or importer duties for US/Germany. No DDP quote or supplier commitment exists.</w:t>
            </w:r>
          </w:p>
        </w:tc>
      </w:tr>
      <w:tr>
        <w:tc>
          <w:tcPr>
            <w:tcW w:type="dxa" w:w="358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sz w:val="14"/>
              </w:rPr>
              <w:t>Consignment stock near plant</w:t>
            </w:r>
          </w:p>
        </w:tc>
        <w:tc>
          <w:tcPr>
            <w:tcW w:type="dxa" w:w="358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May defer payment until withdrawal.</w:t>
            </w:r>
          </w:p>
        </w:tc>
        <w:tc>
          <w:tcPr>
            <w:tcW w:type="dxa" w:w="358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Ownership, control, insurance, shrinkage, count rights and payment triggers require a bespoke agreement; consignment does not automatically satisfy Treasury control or prove capacity.</w:t>
            </w:r>
          </w:p>
        </w:tc>
      </w:tr>
      <w:tr>
        <w:tc>
          <w:tcPr>
            <w:tcW w:type="dxa" w:w="358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sz w:val="14"/>
              </w:rPr>
              <w:t>Smaller ocean lots to plant only</w:t>
            </w:r>
          </w:p>
        </w:tc>
        <w:tc>
          <w:tcPr>
            <w:tcW w:type="dxa" w:w="358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Could reduce on-site quantity.</w:t>
            </w:r>
          </w:p>
        </w:tc>
        <w:tc>
          <w:tcPr>
            <w:tcW w:type="dxa" w:w="358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Without the 3PL, the dock gates every receipt and gives no controlled home for the 120-unit buffer; extra handling and order frequency are unquoted.</w:t>
            </w:r>
          </w:p>
        </w:tc>
      </w:tr>
      <w:tr>
        <w:tc>
          <w:tcPr>
            <w:tcW w:type="dxa" w:w="358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sz w:val="14"/>
              </w:rPr>
              <w:t>Air as normal mode</w:t>
            </w:r>
          </w:p>
        </w:tc>
        <w:tc>
          <w:tcPr>
            <w:tcW w:type="dxa" w:w="358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Seven-day transit reduces delay exposure.</w:t>
            </w:r>
          </w:p>
        </w:tc>
        <w:tc>
          <w:tcPr>
            <w:tcW w:type="dxa" w:w="358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Air is contingency, not the sea-freight footing requested; no air rate, capacity, emissions or landed-cost evidence is available.</w:t>
            </w:r>
          </w:p>
        </w:tc>
      </w:tr>
    </w:tbl>
    <w:p>
      <w:pPr>
        <w:pStyle w:val="Heading1"/>
      </w:pPr>
      <w:r>
        <w:t>Bounded fallback and contract controls</w:t>
      </w:r>
    </w:p>
    <w:p>
      <w:pPr>
        <w:spacing w:after="40"/>
      </w:pPr>
      <w:r>
        <w:rPr>
          <w:b/>
        </w:rPr>
        <w:t xml:space="preserve">No multi-month pilot is available before the round closes, and dock enlargement/capital work is not an immediate remedy. </w:t>
      </w:r>
      <w:r>
        <w:t>Use a controlled first 300-unit ocean release under the same FCA/3PL configuration: pre-shipment document review; count/condition evidence at the 3PL; quarantine-and-claim process for shortage or nonconformance; and a release gate requiring production demand plus inventory reconciliation. This bounded release tests execution without changing the approved base configuration or claiming that long-run economics are validated.</w:t>
      </w:r>
    </w:p>
    <w:p>
      <w:pPr>
        <w:spacing w:after="40"/>
      </w:pPr>
      <w:r>
        <w:rPr>
          <w:b/>
        </w:rPr>
        <w:t xml:space="preserve">Contract drafting boundary. </w:t>
      </w:r>
      <w:r>
        <w:t>Vantridge Works and Goldfinch Foundry instruments should identify the FCA named place, carrier nomination, delivery evidence, delay/damage/shortage and nonconformance notice path, and cost allocation after the FCA event. Payment terms, title/ownership, acceptance, insurance scope, customs/importer role and remedies must be stated separately. Freight, duty, brokerage, storage, insurance, supplier reliability and service history are unresolved commercial inputs; no unsupported supplier promise, quote, duty rate or legal conclusion is treated as fact. If verified freight/storage sensitivity makes 300 units uneconomic, that is a new approval—not an automatic move to 600 units, DDP, consignment or air.</w:t>
      </w:r>
    </w:p>
    <w:p>
      <w:pPr>
        <w:spacing w:before="80" w:after="0"/>
      </w:pPr>
      <w:r>
        <w:rPr>
          <w:b/>
          <w:color w:val="1F4E79"/>
        </w:rPr>
        <w:t xml:space="preserve">FINAL DECISION — </w:t>
      </w:r>
      <w:r>
        <w:t>Tarnbeck Hydraulics should contract for 300 cast manifolds per ocean replenishment on FCA Vantridge Works export handover point (Incoterms® 2020), hold the 120-manifold safety stock at the regional 3PL near the plant, and release stock to the plant against controlled production demand. This is the single approved inbound configuration for the ten-business-day contract round.</w:t>
      </w:r>
    </w:p>
    <w:sectPr w:rsidR="00FC693F" w:rsidRPr="0006063C" w:rsidSect="00034616">
      <w:footerReference w:type="default" r:id="rId9"/>
      <w:pgSz w:w="12240" w:h="15840"/>
      <w:pgMar w:top="605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4"/>
      </w:rPr>
      <w:t>Tarnbeck Hydraulics • Internal decision memorandum • Planning values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64646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