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Funding Route Options for the UK Cyber Programme</w:t>
      </w:r>
    </w:p>
    <w:p>
      <w:pPr>
        <w:spacing w:after="140"/>
      </w:pPr>
      <w:r>
        <w:rPr>
          <w:i/>
          <w:color w:val="5B6573"/>
        </w:rPr>
        <w:t>Sandpiper Advisory | Decision brief prepared 03 October 2028</w:t>
      </w:r>
    </w:p>
    <w:tbl>
      <w:tblPr>
        <w:tblStyle w:val="TableGrid"/>
        <w:tblW w:type="auto" w:w="0"/>
        <w:tblLayout w:type="fixed"/>
        <w:tblLook w:firstColumn="1" w:firstRow="1" w:lastColumn="0" w:lastRow="0" w:noHBand="0" w:noVBand="1" w:val="04A0"/>
      </w:tblPr>
      <w:tblGrid>
        <w:gridCol w:w="3485"/>
        <w:gridCol w:w="3485"/>
        <w:gridCol w:w="3485"/>
      </w:tblGrid>
      <w:tr>
        <w:tc>
          <w:tcPr>
            <w:tcW w:type="dxa" w:w="3485"/>
            <w:shd w:fill="EDF3F8"/>
            <w:vAlign w:val="top"/>
          </w:tcPr>
          <w:p>
            <w:pPr>
              <w:jc w:val="left"/>
            </w:pPr>
            <w:r>
              <w:rPr>
                <w:b/>
              </w:rPr>
            </w:r>
            <w:r>
              <w:rPr>
                <w:rFonts w:ascii="Aptos" w:hAnsi="Aptos"/>
                <w:b w:val="0"/>
                <w:sz w:val="16"/>
              </w:rPr>
              <w:t>Client</w:t>
              <w:br/>
              <w:t>Redcliffe Manufacturing plc</w:t>
            </w:r>
          </w:p>
        </w:tc>
        <w:tc>
          <w:tcPr>
            <w:tcW w:type="dxa" w:w="3485"/>
            <w:shd w:fill="EDF3F8"/>
            <w:vAlign w:val="top"/>
          </w:tcPr>
          <w:p>
            <w:pPr>
              <w:jc w:val="left"/>
            </w:pPr>
            <w:r>
              <w:rPr>
                <w:b/>
              </w:rPr>
            </w:r>
            <w:r>
              <w:rPr>
                <w:rFonts w:ascii="Aptos" w:hAnsi="Aptos"/>
                <w:b w:val="0"/>
                <w:sz w:val="16"/>
              </w:rPr>
              <w:t>Decision date</w:t>
              <w:br/>
              <w:t>06 October 2028</w:t>
            </w:r>
          </w:p>
        </w:tc>
        <w:tc>
          <w:tcPr>
            <w:tcW w:type="dxa" w:w="3485"/>
            <w:shd w:fill="EDF3F8"/>
            <w:vAlign w:val="top"/>
          </w:tcPr>
          <w:p>
            <w:pPr>
              <w:jc w:val="left"/>
            </w:pPr>
            <w:r>
              <w:rPr>
                <w:b/>
              </w:rPr>
            </w:r>
            <w:r>
              <w:rPr>
                <w:rFonts w:ascii="Aptos" w:hAnsi="Aptos"/>
                <w:b w:val="0"/>
                <w:sz w:val="16"/>
              </w:rPr>
              <w:t>Currency</w:t>
              <w:br/>
              <w:t>GBP</w:t>
            </w:r>
          </w:p>
        </w:tc>
      </w:tr>
    </w:tbl>
    <w:p>
      <w:pPr>
        <w:spacing w:after="0"/>
      </w:pPr>
    </w:p>
    <w:p>
      <w:pPr>
        <w:pStyle w:val="Heading1"/>
      </w:pPr>
      <w:r>
        <w:t>United Kingdom conditions</w:t>
      </w:r>
    </w:p>
    <w:p>
      <w:r>
        <w:t>A route is compliant only when all of the following conditions are met as at 30 September 2028:</w:t>
      </w:r>
    </w:p>
    <w:p>
      <w:pPr>
        <w:pStyle w:val="ListBullet"/>
        <w:spacing w:after="20"/>
        <w:ind w:left="288"/>
      </w:pPr>
      <w:r>
        <w:t>Funding capacity must be at least the corrected United Kingdom insurance budget, before the funding fee.</w:t>
      </w:r>
    </w:p>
    <w:p>
      <w:pPr>
        <w:pStyle w:val="ListBullet"/>
        <w:spacing w:after="20"/>
        <w:ind w:left="288"/>
      </w:pPr>
      <w:r>
        <w:t>The route must be available by 30 September 2028 and preserve every schedule-backed United Kingdom coverage line.</w:t>
      </w:r>
    </w:p>
    <w:p>
      <w:pPr>
        <w:pStyle w:val="ListBullet"/>
        <w:spacing w:after="20"/>
        <w:ind w:left="288"/>
      </w:pPr>
      <w:r>
        <w:t>A ring-fenced contingency reserve of at least £15,000 must be maintained for the programme.</w:t>
      </w:r>
    </w:p>
    <w:p>
      <w:r>
        <w:t>Each funding fee is charged in addition to the corrected insurance budget. Capacity is measured against the insurance budget before that fee.</w:t>
      </w:r>
    </w:p>
    <w:p>
      <w:pPr>
        <w:pStyle w:val="Heading1"/>
      </w:pPr>
      <w:r>
        <w:t>Available funding routes</w:t>
      </w:r>
    </w:p>
    <w:tbl>
      <w:tblPr>
        <w:tblStyle w:val="TableGrid"/>
        <w:tblW w:type="auto" w:w="0"/>
        <w:tblLayout w:type="fixed"/>
        <w:tblLook w:firstColumn="1" w:firstRow="1" w:lastColumn="0" w:lastRow="0" w:noHBand="0" w:noVBand="1" w:val="04A0"/>
      </w:tblPr>
      <w:tblGrid>
        <w:gridCol w:w="1742"/>
        <w:gridCol w:w="1742"/>
        <w:gridCol w:w="1742"/>
        <w:gridCol w:w="1742"/>
        <w:gridCol w:w="1742"/>
        <w:gridCol w:w="1742"/>
      </w:tblGrid>
      <w:tr>
        <w:tc>
          <w:tcPr>
            <w:tcW w:type="dxa" w:w="2304"/>
            <w:shd w:fill="1F4E78"/>
            <w:vAlign w:val="center"/>
          </w:tcPr>
          <w:p>
            <w:pPr>
              <w:jc w:val="left"/>
            </w:pPr>
            <w:r/>
            <w:r>
              <w:rPr>
                <w:rFonts w:ascii="Aptos" w:hAnsi="Aptos"/>
                <w:b/>
                <w:color w:val="FFFFFF"/>
                <w:sz w:val="16"/>
              </w:rPr>
              <w:t>Option</w:t>
            </w:r>
          </w:p>
        </w:tc>
        <w:tc>
          <w:tcPr>
            <w:tcW w:type="dxa" w:w="1080"/>
            <w:shd w:fill="1F4E78"/>
            <w:vAlign w:val="center"/>
          </w:tcPr>
          <w:p>
            <w:pPr>
              <w:jc w:val="left"/>
            </w:pPr>
            <w:r/>
            <w:r>
              <w:rPr>
                <w:rFonts w:ascii="Aptos" w:hAnsi="Aptos"/>
                <w:b/>
                <w:color w:val="FFFFFF"/>
                <w:sz w:val="16"/>
              </w:rPr>
              <w:t>Funding fee</w:t>
            </w:r>
          </w:p>
        </w:tc>
        <w:tc>
          <w:tcPr>
            <w:tcW w:type="dxa" w:w="1267"/>
            <w:shd w:fill="1F4E78"/>
            <w:vAlign w:val="center"/>
          </w:tcPr>
          <w:p>
            <w:pPr>
              <w:jc w:val="left"/>
            </w:pPr>
            <w:r/>
            <w:r>
              <w:rPr>
                <w:rFonts w:ascii="Aptos" w:hAnsi="Aptos"/>
                <w:b/>
                <w:color w:val="FFFFFF"/>
                <w:sz w:val="16"/>
              </w:rPr>
              <w:t>Capacity</w:t>
            </w:r>
          </w:p>
        </w:tc>
        <w:tc>
          <w:tcPr>
            <w:tcW w:type="dxa" w:w="1080"/>
            <w:shd w:fill="1F4E78"/>
            <w:vAlign w:val="center"/>
          </w:tcPr>
          <w:p>
            <w:pPr>
              <w:jc w:val="left"/>
            </w:pPr>
            <w:r/>
            <w:r>
              <w:rPr>
                <w:rFonts w:ascii="Aptos" w:hAnsi="Aptos"/>
                <w:b/>
                <w:color w:val="FFFFFF"/>
                <w:sz w:val="16"/>
              </w:rPr>
              <w:t>Availability</w:t>
            </w:r>
          </w:p>
        </w:tc>
        <w:tc>
          <w:tcPr>
            <w:tcW w:type="dxa" w:w="2016"/>
            <w:shd w:fill="1F4E78"/>
            <w:vAlign w:val="center"/>
          </w:tcPr>
          <w:p>
            <w:pPr>
              <w:jc w:val="left"/>
            </w:pPr>
            <w:r/>
            <w:r>
              <w:rPr>
                <w:rFonts w:ascii="Aptos" w:hAnsi="Aptos"/>
                <w:b/>
                <w:color w:val="FFFFFF"/>
                <w:sz w:val="16"/>
              </w:rPr>
              <w:t>Coverage consequence</w:t>
            </w:r>
          </w:p>
        </w:tc>
        <w:tc>
          <w:tcPr>
            <w:tcW w:type="dxa" w:w="1440"/>
            <w:shd w:fill="1F4E78"/>
            <w:vAlign w:val="center"/>
          </w:tcPr>
          <w:p>
            <w:pPr>
              <w:jc w:val="left"/>
            </w:pPr>
            <w:r/>
            <w:r>
              <w:rPr>
                <w:rFonts w:ascii="Aptos" w:hAnsi="Aptos"/>
                <w:b/>
                <w:color w:val="FFFFFF"/>
                <w:sz w:val="16"/>
              </w:rPr>
              <w:t>Ring-fenced reserve</w:t>
            </w:r>
          </w:p>
        </w:tc>
      </w:tr>
      <w:tr>
        <w:tc>
          <w:tcPr>
            <w:tcW w:type="dxa" w:w="2304"/>
            <w:vAlign w:val="center"/>
          </w:tcPr>
          <w:p>
            <w:pPr>
              <w:jc w:val="left"/>
            </w:pPr>
            <w:r/>
            <w:r>
              <w:rPr>
                <w:rFonts w:ascii="Aptos" w:hAnsi="Aptos"/>
                <w:b w:val="0"/>
                <w:sz w:val="16"/>
              </w:rPr>
              <w:t>Treasury Cash Release</w:t>
            </w:r>
          </w:p>
        </w:tc>
        <w:tc>
          <w:tcPr>
            <w:tcW w:type="dxa" w:w="1080"/>
            <w:vAlign w:val="center"/>
          </w:tcPr>
          <w:p>
            <w:pPr>
              <w:jc w:val="left"/>
            </w:pPr>
            <w:r/>
            <w:r>
              <w:rPr>
                <w:rFonts w:ascii="Aptos" w:hAnsi="Aptos"/>
                <w:b w:val="0"/>
                <w:sz w:val="16"/>
              </w:rPr>
              <w:t>£0.00</w:t>
            </w:r>
          </w:p>
        </w:tc>
        <w:tc>
          <w:tcPr>
            <w:tcW w:type="dxa" w:w="1267"/>
            <w:vAlign w:val="center"/>
          </w:tcPr>
          <w:p>
            <w:pPr>
              <w:jc w:val="left"/>
            </w:pPr>
            <w:r/>
            <w:r>
              <w:rPr>
                <w:rFonts w:ascii="Aptos" w:hAnsi="Aptos"/>
                <w:b w:val="0"/>
                <w:sz w:val="16"/>
              </w:rPr>
              <w:t>£300,000.00</w:t>
            </w:r>
          </w:p>
        </w:tc>
        <w:tc>
          <w:tcPr>
            <w:tcW w:type="dxa" w:w="1080"/>
            <w:vAlign w:val="center"/>
          </w:tcPr>
          <w:p>
            <w:pPr>
              <w:jc w:val="left"/>
            </w:pPr>
            <w:r/>
            <w:r>
              <w:rPr>
                <w:rFonts w:ascii="Aptos" w:hAnsi="Aptos"/>
                <w:b w:val="0"/>
                <w:sz w:val="16"/>
              </w:rPr>
              <w:t>30 Sep 2028</w:t>
            </w:r>
          </w:p>
        </w:tc>
        <w:tc>
          <w:tcPr>
            <w:tcW w:type="dxa" w:w="2016"/>
            <w:vAlign w:val="center"/>
          </w:tcPr>
          <w:p>
            <w:pPr>
              <w:jc w:val="left"/>
            </w:pPr>
            <w:r/>
            <w:r>
              <w:rPr>
                <w:rFonts w:ascii="Aptos" w:hAnsi="Aptos"/>
                <w:b w:val="0"/>
                <w:sz w:val="16"/>
              </w:rPr>
              <w:t>No coverage change</w:t>
            </w:r>
          </w:p>
        </w:tc>
        <w:tc>
          <w:tcPr>
            <w:tcW w:type="dxa" w:w="1440"/>
            <w:vAlign w:val="center"/>
          </w:tcPr>
          <w:p>
            <w:pPr>
              <w:jc w:val="left"/>
            </w:pPr>
            <w:r/>
            <w:r>
              <w:rPr>
                <w:rFonts w:ascii="Aptos" w:hAnsi="Aptos"/>
                <w:b w:val="0"/>
                <w:sz w:val="16"/>
              </w:rPr>
              <w:t>£0.00</w:t>
            </w:r>
          </w:p>
        </w:tc>
      </w:tr>
      <w:tr>
        <w:tc>
          <w:tcPr>
            <w:tcW w:type="dxa" w:w="2304"/>
            <w:vAlign w:val="center"/>
          </w:tcPr>
          <w:p>
            <w:pPr>
              <w:jc w:val="left"/>
            </w:pPr>
            <w:r/>
            <w:r>
              <w:rPr>
                <w:rFonts w:ascii="Aptos" w:hAnsi="Aptos"/>
                <w:b w:val="0"/>
                <w:sz w:val="16"/>
              </w:rPr>
              <w:t>Sandpiper Managed Premium Facility</w:t>
            </w:r>
          </w:p>
        </w:tc>
        <w:tc>
          <w:tcPr>
            <w:tcW w:type="dxa" w:w="1080"/>
            <w:vAlign w:val="center"/>
          </w:tcPr>
          <w:p>
            <w:pPr>
              <w:jc w:val="left"/>
            </w:pPr>
            <w:r/>
            <w:r>
              <w:rPr>
                <w:rFonts w:ascii="Aptos" w:hAnsi="Aptos"/>
                <w:b w:val="0"/>
                <w:sz w:val="16"/>
              </w:rPr>
              <w:t>£6,250.00</w:t>
            </w:r>
          </w:p>
        </w:tc>
        <w:tc>
          <w:tcPr>
            <w:tcW w:type="dxa" w:w="1267"/>
            <w:vAlign w:val="center"/>
          </w:tcPr>
          <w:p>
            <w:pPr>
              <w:jc w:val="left"/>
            </w:pPr>
            <w:r/>
            <w:r>
              <w:rPr>
                <w:rFonts w:ascii="Aptos" w:hAnsi="Aptos"/>
                <w:b w:val="0"/>
                <w:sz w:val="16"/>
              </w:rPr>
              <w:t>£300,000.00</w:t>
            </w:r>
          </w:p>
        </w:tc>
        <w:tc>
          <w:tcPr>
            <w:tcW w:type="dxa" w:w="1080"/>
            <w:vAlign w:val="center"/>
          </w:tcPr>
          <w:p>
            <w:pPr>
              <w:jc w:val="left"/>
            </w:pPr>
            <w:r/>
            <w:r>
              <w:rPr>
                <w:rFonts w:ascii="Aptos" w:hAnsi="Aptos"/>
                <w:b w:val="0"/>
                <w:sz w:val="16"/>
              </w:rPr>
              <w:t>30 Sep 2028</w:t>
            </w:r>
          </w:p>
        </w:tc>
        <w:tc>
          <w:tcPr>
            <w:tcW w:type="dxa" w:w="2016"/>
            <w:vAlign w:val="center"/>
          </w:tcPr>
          <w:p>
            <w:pPr>
              <w:jc w:val="left"/>
            </w:pPr>
            <w:r/>
            <w:r>
              <w:rPr>
                <w:rFonts w:ascii="Aptos" w:hAnsi="Aptos"/>
                <w:b w:val="0"/>
                <w:sz w:val="16"/>
              </w:rPr>
              <w:t>No coverage change</w:t>
            </w:r>
          </w:p>
        </w:tc>
        <w:tc>
          <w:tcPr>
            <w:tcW w:type="dxa" w:w="1440"/>
            <w:vAlign w:val="center"/>
          </w:tcPr>
          <w:p>
            <w:pPr>
              <w:jc w:val="left"/>
            </w:pPr>
            <w:r/>
            <w:r>
              <w:rPr>
                <w:rFonts w:ascii="Aptos" w:hAnsi="Aptos"/>
                <w:b w:val="0"/>
                <w:sz w:val="16"/>
              </w:rPr>
              <w:t>£20,000.00</w:t>
            </w:r>
          </w:p>
        </w:tc>
      </w:tr>
      <w:tr>
        <w:tc>
          <w:tcPr>
            <w:tcW w:type="dxa" w:w="2304"/>
            <w:vAlign w:val="center"/>
          </w:tcPr>
          <w:p>
            <w:pPr>
              <w:jc w:val="left"/>
            </w:pPr>
            <w:r/>
            <w:r>
              <w:rPr>
                <w:rFonts w:ascii="Aptos" w:hAnsi="Aptos"/>
                <w:b w:val="0"/>
                <w:sz w:val="16"/>
              </w:rPr>
              <w:t>Collateralised Reserve Facility</w:t>
            </w:r>
          </w:p>
        </w:tc>
        <w:tc>
          <w:tcPr>
            <w:tcW w:type="dxa" w:w="1080"/>
            <w:vAlign w:val="center"/>
          </w:tcPr>
          <w:p>
            <w:pPr>
              <w:jc w:val="left"/>
            </w:pPr>
            <w:r/>
            <w:r>
              <w:rPr>
                <w:rFonts w:ascii="Aptos" w:hAnsi="Aptos"/>
                <w:b w:val="0"/>
                <w:sz w:val="16"/>
              </w:rPr>
              <w:t>£9,800.00</w:t>
            </w:r>
          </w:p>
        </w:tc>
        <w:tc>
          <w:tcPr>
            <w:tcW w:type="dxa" w:w="1267"/>
            <w:vAlign w:val="center"/>
          </w:tcPr>
          <w:p>
            <w:pPr>
              <w:jc w:val="left"/>
            </w:pPr>
            <w:r/>
            <w:r>
              <w:rPr>
                <w:rFonts w:ascii="Aptos" w:hAnsi="Aptos"/>
                <w:b w:val="0"/>
                <w:sz w:val="16"/>
              </w:rPr>
              <w:t>£350,000.00</w:t>
            </w:r>
          </w:p>
        </w:tc>
        <w:tc>
          <w:tcPr>
            <w:tcW w:type="dxa" w:w="1080"/>
            <w:vAlign w:val="center"/>
          </w:tcPr>
          <w:p>
            <w:pPr>
              <w:jc w:val="left"/>
            </w:pPr>
            <w:r/>
            <w:r>
              <w:rPr>
                <w:rFonts w:ascii="Aptos" w:hAnsi="Aptos"/>
                <w:b w:val="0"/>
                <w:sz w:val="16"/>
              </w:rPr>
              <w:t>30 Sep 2028</w:t>
            </w:r>
          </w:p>
        </w:tc>
        <w:tc>
          <w:tcPr>
            <w:tcW w:type="dxa" w:w="2016"/>
            <w:vAlign w:val="center"/>
          </w:tcPr>
          <w:p>
            <w:pPr>
              <w:jc w:val="left"/>
            </w:pPr>
            <w:r/>
            <w:r>
              <w:rPr>
                <w:rFonts w:ascii="Aptos" w:hAnsi="Aptos"/>
                <w:b w:val="0"/>
                <w:sz w:val="16"/>
              </w:rPr>
              <w:t>No coverage change</w:t>
            </w:r>
          </w:p>
        </w:tc>
        <w:tc>
          <w:tcPr>
            <w:tcW w:type="dxa" w:w="1440"/>
            <w:vAlign w:val="center"/>
          </w:tcPr>
          <w:p>
            <w:pPr>
              <w:jc w:val="left"/>
            </w:pPr>
            <w:r/>
            <w:r>
              <w:rPr>
                <w:rFonts w:ascii="Aptos" w:hAnsi="Aptos"/>
                <w:b w:val="0"/>
                <w:sz w:val="16"/>
              </w:rPr>
              <w:t>£25,000.00</w:t>
            </w:r>
          </w:p>
        </w:tc>
      </w:tr>
    </w:tbl>
    <w:p>
      <w:pPr>
        <w:pStyle w:val="Heading1"/>
      </w:pPr>
      <w:r>
        <w:t>Decision note</w:t>
      </w:r>
    </w:p>
    <w:p>
      <w:r>
        <w:t>Treasury Cash Release has no funding fee but does not establish the required ring-fenced contingency reserve and is therefore not compliant. Both facility routes preserve the coverage and meet the capacity, timing and reserve conditions. The final recommendation should use the corrected budget from the review and compare the resulting total cost.</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5"/>
      </w:rPr>
      <w:t>Redcliffe Manufacturing plc | Finance Risk &amp; Controls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1F4E78"/>
      <w:sz w:val="23"/>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F4E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