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Principal Services review brief</w:t>
      </w:r>
    </w:p>
    <w:p>
      <w:pPr>
        <w:pStyle w:val="Subtitle"/>
      </w:pPr>
      <w:r>
        <w:t>For Ingrid Solheim — Wintergate Engineering family-office intake</w:t>
      </w:r>
    </w:p>
    <w:p>
      <w:r>
        <w:t>The intake workbook will be completed electronically by a concierge before the 30 September review. It must be understandable to a new team member without a verbal handover and may be printed for desk review or sent as a controlled attachment to the client team.</w:t>
      </w:r>
    </w:p>
    <w:p>
      <w:pPr>
        <w:pStyle w:val="Heading1"/>
      </w:pPr>
      <w:r>
        <w:t>Profile</w:t>
      </w:r>
    </w:p>
    <w:p>
      <w:r>
        <w:t>Use the Wintergate field order and client terminology. Keep every destination value distinct from its source wording. Required fields need a visible unresolved signal until an actual answer is entered; no placeholder may satisfy the completion indicator.</w:t>
      </w:r>
    </w:p>
    <w:p>
      <w:pPr>
        <w:pStyle w:val="Heading1"/>
      </w:pPr>
      <w:r>
        <w:t>Controlled entry</w:t>
      </w:r>
    </w:p>
    <w:p>
      <w:r>
        <w:t>Choices supplied by Wintergate must be selected from their approved vocabulary. Free-text fields must remain empty until supported evidence is available.</w:t>
      </w:r>
    </w:p>
    <w:p>
      <w:pPr>
        <w:pStyle w:val="Heading1"/>
      </w:pPr>
      <w:r>
        <w:t>Mapping reference</w:t>
      </w:r>
    </w:p>
    <w:p>
      <w:r>
        <w:t>Provide a separate operational mapping key for every profile field. It must show the source relationship, evidence threshold, safe normalization, blank or confirmation path, and provenance to retain.</w:t>
      </w:r>
    </w:p>
    <w:p>
      <w:pPr>
        <w:pStyle w:val="Heading1"/>
      </w:pPr>
      <w:r>
        <w:t>Print and review</w:t>
      </w:r>
    </w:p>
    <w:p>
      <w:r>
        <w:t>Set the Profile for A4 portrait and one page wide. Set the mapping reference for A4 landscape, one page wide, with its header repeated on subsequent pages. Keep useful headers visible while staff scroll.</w:t>
      </w:r>
    </w:p>
    <w:p>
      <w:pPr>
        <w:pStyle w:val="Heading1"/>
      </w:pPr>
      <w:r>
        <w:t>Growth</w:t>
      </w:r>
    </w:p>
    <w:p>
      <w:r>
        <w:t>The template is reusable. Do not tie controls, formulas, mapping ranges, or validation lists to the current number of master records.</w:t>
      </w:r>
    </w:p>
    <w:p>
      <w:pPr>
        <w:pStyle w:val="Caption"/>
      </w:pPr>
      <w:r>
        <w:t>Principal Services | Internal review brief | 15 September 2026</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