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9648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>TANNERYSIDE FOUNDRY  /  IN-HOUSE LEGAL</w:t>
            </w:r>
          </w:p>
        </w:tc>
        <w:tc>
          <w:tcPr>
            <w:tcW w:type="dxa" w:w="4464"/>
          </w:tcPr>
          <w:p>
            <w:pPr>
              <w:spacing w:before="0" w:after="0" w:line="250" w:lineRule="auto"/>
              <w:jc w:val="right"/>
            </w:pPr>
            <w:r/>
            <w:r>
              <w:rPr>
                <w:rFonts w:ascii="DejaVu Sans" w:hAnsi="DejaVu Sans" w:eastAsia="DejaVu Sans"/>
                <w:b/>
                <w:i w:val="0"/>
                <w:color w:val="63717D"/>
                <w:sz w:val="13"/>
              </w:rPr>
              <w:t>DECISION BRIEFING  |  PEER REVIEW DRAFT</w:t>
            </w:r>
          </w:p>
        </w:tc>
      </w:tr>
    </w:tbl>
    <w:p>
      <w:pPr>
        <w:spacing w:before="20" w:after="20" w:line="240" w:lineRule="auto"/>
      </w:pPr>
      <w:r>
        <w:rPr>
          <w:rFonts w:ascii="DejaVu Sans" w:hAnsi="DejaVu Sans" w:eastAsia="DejaVu Sans"/>
          <w:b/>
          <w:i w:val="0"/>
          <w:color w:val="17324D"/>
          <w:sz w:val="44"/>
        </w:rPr>
        <w:t>Outside-interests register</w:t>
      </w:r>
    </w:p>
    <w:p>
      <w:pPr>
        <w:spacing w:before="0" w:after="160" w:line="240" w:lineRule="auto"/>
      </w:pPr>
      <w:r>
        <w:rPr>
          <w:rFonts w:ascii="DejaVu Sans" w:hAnsi="DejaVu Sans" w:eastAsia="DejaVu Sans"/>
          <w:b w:val="0"/>
          <w:i w:val="0"/>
          <w:color w:val="63717D"/>
          <w:sz w:val="18"/>
        </w:rPr>
        <w:t>Decision memorandum for controlled operational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184"/>
      </w:tblGrid>
      <w:tr>
        <w:trPr>
          <w:trHeight w:val="25" w:hRule="exact"/>
        </w:trPr>
        <w:tc>
          <w:tcPr>
            <w:tcW w:type="dxa" w:w="14184"/>
            <w:shd w:fill="007F86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20" w:line="240" w:lineRule="auto"/>
            </w:pPr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728"/>
        <w:gridCol w:w="4728"/>
        <w:gridCol w:w="4728"/>
      </w:tblGrid>
      <w:tr>
        <w:tc>
          <w:tcPr>
            <w:tcW w:type="dxa" w:w="3888"/>
            <w:shd w:fill="EAF0F5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 xml:space="preserve">TO  </w:t>
            </w:r>
            <w:r>
              <w:rPr>
                <w:rFonts w:ascii="DejaVu Sans" w:hAnsi="DejaVu Sans" w:eastAsia="DejaVu Sans"/>
                <w:b/>
                <w:i w:val="0"/>
                <w:color w:val="24313D"/>
                <w:sz w:val="13"/>
              </w:rPr>
              <w:t>Anselm Tikhonov</w:t>
            </w:r>
          </w:p>
        </w:tc>
        <w:tc>
          <w:tcPr>
            <w:tcW w:type="dxa" w:w="4608"/>
            <w:shd w:fill="EAF0F5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 xml:space="preserve">FROM  </w:t>
            </w:r>
            <w:r>
              <w:rPr>
                <w:rFonts w:ascii="DejaVu Sans" w:hAnsi="DejaVu Sans" w:eastAsia="DejaVu Sans"/>
                <w:b/>
                <w:i w:val="0"/>
                <w:color w:val="24313D"/>
                <w:sz w:val="13"/>
              </w:rPr>
              <w:t>Jarek Ilechukwu | In-house Legal</w:t>
            </w:r>
          </w:p>
        </w:tc>
        <w:tc>
          <w:tcPr>
            <w:tcW w:type="dxa" w:w="5688"/>
            <w:shd w:fill="EAF0F5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 xml:space="preserve">PEER REVIEW  </w:t>
            </w:r>
            <w:r>
              <w:rPr>
                <w:rFonts w:ascii="DejaVu Sans" w:hAnsi="DejaVu Sans" w:eastAsia="DejaVu Sans"/>
                <w:b/>
                <w:i w:val="0"/>
                <w:color w:val="24313D"/>
                <w:sz w:val="13"/>
              </w:rPr>
              <w:t>Oona Coutinho | Jarek Wainwright | Sofia Bergqvist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9000"/>
            <w:shd w:fill="17324D" w:val="clear"/>
            <w:tcMar>
              <w:top w:w="145" w:type="dxa"/>
              <w:start w:w="170" w:type="dxa"/>
              <w:bottom w:w="135" w:type="dxa"/>
              <w:end w:w="170" w:type="dxa"/>
            </w:tcMar>
            <w:tcBorders>
              <w:top w:sz="6" w:val="single" w:color="17324D"/>
              <w:left w:sz="6" w:val="single" w:color="17324D"/>
              <w:bottom w:sz="6" w:val="single" w:color="17324D"/>
              <w:right w:sz="6" w:val="single" w:color="17324D"/>
            </w:tcBorders>
            <w:vAlign w:val="top"/>
          </w:tcPr>
          <w:p>
            <w:pPr>
              <w:spacing w:before="0" w:after="6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8FE0DC"/>
                <w:sz w:val="14"/>
              </w:rPr>
              <w:t>DECISION</w:t>
            </w:r>
          </w:p>
          <w:p>
            <w:pPr>
              <w:spacing w:before="0" w:after="100" w:line="240" w:lineRule="auto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4"/>
              </w:rPr>
              <w:t>CONTINUE SUBJECT TO CONDITIONS</w:t>
            </w:r>
          </w:p>
          <w:p>
            <w:pPr>
              <w:spacing w:before="0" w:after="0" w:line="259" w:lineRule="auto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6"/>
              </w:rPr>
              <w:t>Keep the employee outside-interests register in operational use in France and Germany, subject to the governance, data-quality, access and local-validation controls in this memo. This is one conditional continuation decision, not an unconditional approval.</w:t>
            </w:r>
          </w:p>
        </w:tc>
        <w:tc>
          <w:tcPr>
            <w:tcW w:type="dxa" w:w="5184"/>
            <w:shd w:fill="FFF3DD" w:val="clear"/>
            <w:tcMar>
              <w:top w:w="145" w:type="dxa"/>
              <w:start w:w="150" w:type="dxa"/>
              <w:bottom w:w="130" w:type="dxa"/>
              <w:end w:w="150" w:type="dxa"/>
            </w:tcMar>
            <w:tcBorders>
              <w:top w:sz="6" w:val="single" w:color="A86600"/>
              <w:left w:sz="6" w:val="single" w:color="A86600"/>
              <w:bottom w:sz="6" w:val="single" w:color="A86600"/>
              <w:right w:sz="6" w:val="single" w:color="A86600"/>
            </w:tcBorders>
            <w:vAlign w:val="top"/>
          </w:tcPr>
          <w:p>
            <w:pPr>
              <w:spacing w:before="0" w:after="6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4"/>
              </w:rPr>
              <w:t>PROPOSED CONTROL</w:t>
            </w:r>
          </w:p>
          <w:p>
            <w:pPr>
              <w:spacing w:before="0" w:after="80" w:line="254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20"/>
              </w:rPr>
              <w:t>For each new disclosure, assign an owner and complete initial triage within 5 business days.</w:t>
            </w:r>
          </w:p>
          <w:p>
            <w:pPr>
              <w:spacing w:before="0" w:after="0" w:line="250" w:lineRule="auto"/>
            </w:pPr>
            <w:r>
              <w:rPr>
                <w:rFonts w:ascii="DejaVu Sans" w:hAnsi="DejaVu Sans" w:eastAsia="DejaVu Sans"/>
                <w:b w:val="0"/>
                <w:i/>
                <w:color w:val="A86600"/>
                <w:sz w:val="14"/>
              </w:rPr>
              <w:t>Proposed operating control; not a historical workbook result or a statutory deadline.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728"/>
        <w:gridCol w:w="4728"/>
        <w:gridCol w:w="4728"/>
      </w:tblGrid>
      <w:tr>
        <w:tc>
          <w:tcPr>
            <w:tcW w:type="dxa" w:w="4579"/>
            <w:shd w:fill="E7F3F3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007F86"/>
              <w:left w:sz="6" w:val="single" w:color="007F86"/>
              <w:bottom w:sz="6" w:val="single" w:color="007F86"/>
              <w:right w:sz="6" w:val="single" w:color="007F86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7F86"/>
                <w:sz w:val="16"/>
              </w:rPr>
              <w:t>WHY THIS CALL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The brief reports a material rise in family-interest disclosures between the 2025 and 2026 workbooks.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Defective source data weakens the trend signal, but does not by itself justify abandoning a conflict-management process.</w:t>
            </w:r>
          </w:p>
        </w:tc>
        <w:tc>
          <w:tcPr>
            <w:tcW w:type="dxa" w:w="4579"/>
            <w:shd w:fill="EAF0F5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17324D"/>
              <w:left w:sz="6" w:val="single" w:color="17324D"/>
              <w:bottom w:sz="6" w:val="single" w:color="17324D"/>
              <w:right w:sz="6" w:val="single" w:color="17324D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17324D"/>
                <w:sz w:val="16"/>
              </w:rPr>
              <w:t>WHAT THE REGISTER DOES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Records a disclosure, relevant facts, a decision rationale and any mitigation within a defined purpose.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It cannot establish wrongdoing, a conflict, or permanent clearance.</w:t>
            </w:r>
          </w:p>
        </w:tc>
        <w:tc>
          <w:tcPr>
            <w:tcW w:type="dxa" w:w="4579"/>
            <w:shd w:fill="FBE9E7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A5453E"/>
              <w:left w:sz="6" w:val="single" w:color="A5453E"/>
              <w:bottom w:sz="6" w:val="single" w:color="A5453E"/>
              <w:right w:sz="6" w:val="single" w:color="A5453E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5453E"/>
                <w:sz w:val="16"/>
              </w:rPr>
              <w:t>NON-NEGOTIABLE BOUNDARY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No blanket questioning, full-row copying into hiring or procurement files, or red-label decision.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Use contextual review and the least intrusive mitigation that protects impartiality.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2160"/>
            <w:shd w:fill="EAF0F5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DejaVu Sans" w:hAnsi="DejaVu Sans" w:eastAsia="DejaVu Sans"/>
                <w:b/>
                <w:i w:val="0"/>
                <w:color w:val="17324D"/>
                <w:sz w:val="13"/>
              </w:rPr>
              <w:t>FACT FROM BRIEF</w:t>
            </w:r>
          </w:p>
        </w:tc>
        <w:tc>
          <w:tcPr>
            <w:tcW w:type="dxa" w:w="12024"/>
            <w:shd w:fill="EAF0F5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The 2025 and 2026 workbooks contain duplicates, malformed dates, irrelevant contractors and inconsistent labels; raw workbooks are not supplied. No historical count or percentage is asserted.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2160"/>
            <w:shd w:fill="FFF3DD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FFF3DD"/>
              <w:left w:sz="6" w:val="single" w:color="FFF3DD"/>
              <w:bottom w:sz="6" w:val="single" w:color="FFF3DD"/>
              <w:right w:sz="6" w:val="single" w:color="FFF3DD"/>
            </w:tcBorders>
            <w:vAlign w:val="top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3"/>
              </w:rPr>
              <w:t>BOUNDED ASSUMPTION</w:t>
            </w:r>
          </w:p>
        </w:tc>
        <w:tc>
          <w:tcPr>
            <w:tcW w:type="dxa" w:w="12024"/>
            <w:shd w:fill="FFF3DD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FFF3DD"/>
              <w:left w:sz="6" w:val="single" w:color="FFF3DD"/>
              <w:bottom w:sz="6" w:val="single" w:color="FFF3DD"/>
              <w:right w:sz="6" w:val="single" w:color="FFF3DD"/>
            </w:tcBorders>
            <w:vAlign w:val="top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The register is intended for employee outside-interest/conflict management, not general screening. Confirm the local policy and employee-representation instruments before a material change.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9648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>LEGAL BOUNDARY</w:t>
            </w:r>
          </w:p>
        </w:tc>
        <w:tc>
          <w:tcPr>
            <w:tcW w:type="dxa" w:w="4464"/>
          </w:tcPr>
          <w:p>
            <w:pPr>
              <w:spacing w:before="0" w:after="0" w:line="250" w:lineRule="auto"/>
              <w:jc w:val="right"/>
            </w:pPr>
            <w:r/>
            <w:r>
              <w:rPr>
                <w:rFonts w:ascii="DejaVu Sans" w:hAnsi="DejaVu Sans" w:eastAsia="DejaVu Sans"/>
                <w:b/>
                <w:i w:val="0"/>
                <w:color w:val="63717D"/>
                <w:sz w:val="13"/>
              </w:rPr>
              <w:t>FRANCE + GERMANY  |  2025 + 2026</w:t>
            </w:r>
          </w:p>
        </w:tc>
      </w:tr>
    </w:tbl>
    <w:p>
      <w:pPr>
        <w:spacing w:before="20" w:after="20" w:line="240" w:lineRule="auto"/>
      </w:pPr>
      <w:r>
        <w:rPr>
          <w:rFonts w:ascii="DejaVu Sans" w:hAnsi="DejaVu Sans" w:eastAsia="DejaVu Sans"/>
          <w:b/>
          <w:i w:val="0"/>
          <w:color w:val="17324D"/>
          <w:sz w:val="44"/>
        </w:rPr>
        <w:t>France and Germany are not interchangeable</w:t>
      </w:r>
    </w:p>
    <w:p>
      <w:pPr>
        <w:spacing w:before="0" w:after="160" w:line="240" w:lineRule="auto"/>
      </w:pPr>
      <w:r>
        <w:rPr>
          <w:rFonts w:ascii="DejaVu Sans" w:hAnsi="DejaVu Sans" w:eastAsia="DejaVu Sans"/>
          <w:b w:val="0"/>
          <w:i w:val="0"/>
          <w:color w:val="63717D"/>
          <w:sz w:val="18"/>
        </w:rPr>
        <w:t>The obligation is to operate a lawful, proportionate process; local triggers still matter.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184"/>
      </w:tblGrid>
      <w:tr>
        <w:trPr>
          <w:trHeight w:val="25" w:hRule="exact"/>
        </w:trPr>
        <w:tc>
          <w:tcPr>
            <w:tcW w:type="dxa" w:w="14184"/>
            <w:shd w:fill="007F86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20" w:line="240" w:lineRule="auto"/>
            </w:pPr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184"/>
      </w:tblGrid>
      <w:tr>
        <w:tc>
          <w:tcPr>
            <w:tcW w:type="dxa" w:w="14184"/>
            <w:shd w:fill="E7F3F3" w:val="clea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007F86"/>
              <w:left w:sz="6" w:val="single" w:color="007F86"/>
              <w:bottom w:sz="6" w:val="single" w:color="007F86"/>
              <w:right w:sz="6" w:val="single" w:color="007F86"/>
            </w:tcBorders>
            <w:vAlign w:val="top"/>
          </w:tcPr>
          <w:p>
            <w:pPr>
              <w:spacing w:before="0" w:after="6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4"/>
              </w:rPr>
              <w:t>LEGAL BOUNDARY</w:t>
            </w:r>
          </w:p>
          <w:p>
            <w:pPr>
              <w:spacing w:before="0" w:after="0" w:line="259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6"/>
              </w:rPr>
              <w:t>Neither France nor Germany is asserted here to universally require this particular register. If retained, it needs a defined purpose, lawful and proportionate handling, transparent notice, controlled access and a defensible lifecycle. A binding internal policy, employment term or valid local employee-representation instrument can add a mandatory disclosure or consultation step.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6983"/>
            <w:shd w:fill="EAF0F5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17324D"/>
              <w:left w:sz="6" w:val="single" w:color="17324D"/>
              <w:bottom w:sz="6" w:val="single" w:color="17324D"/>
              <w:right w:sz="6" w:val="single" w:color="17324D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17324D"/>
                <w:sz w:val="16"/>
              </w:rPr>
              <w:t>FRANCE</w:t>
            </w:r>
          </w:p>
          <w:p>
            <w:pPr>
              <w:spacing w:before="0" w:after="40" w:line="250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 xml:space="preserve">Employee information and data: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Give employees clear information before collection/use: purpose, categories, access/recipients, lifecycle and rights. Keep collection necessary and proportionate to conflict management. A disclosure or follow-up is mandatory only where an applicable policy, employment term or local instrument makes it so.</w:t>
            </w:r>
          </w:p>
          <w:p>
            <w:pPr>
              <w:spacing w:before="0" w:after="40" w:line="250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 xml:space="preserve">Employee-representation check: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If introduction, redesign or use becomes a means of monitoring/control of activity or materially changes work organisation, HR/Employee Relations should validate whether employee representatives must be informed or consulted under the applicable local process. An individual disclosure does not itself trigger consultation.</w:t>
            </w:r>
          </w:p>
          <w:p>
            <w:pPr>
              <w:spacing w:before="0" w:after="40" w:line="250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 xml:space="preserve">Local action: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France HR + Employee Relations + Legal/Privacy approve the notice, purpose, fields and any change in use before rollout or material redesign.</w:t>
            </w:r>
          </w:p>
        </w:tc>
        <w:tc>
          <w:tcPr>
            <w:tcW w:type="dxa" w:w="6983"/>
            <w:shd w:fill="E7F3F3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007F86"/>
              <w:left w:sz="6" w:val="single" w:color="007F86"/>
              <w:bottom w:sz="6" w:val="single" w:color="007F86"/>
              <w:right w:sz="6" w:val="single" w:color="007F86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7F86"/>
                <w:sz w:val="16"/>
              </w:rPr>
              <w:t>GERMANY</w:t>
            </w:r>
          </w:p>
          <w:p>
            <w:pPr>
              <w:spacing w:before="0" w:after="40" w:line="250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 xml:space="preserve">Employee data and purpose: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Use a defined employment/conflict purpose, necessity, transparency, security, restricted access and a documented lifecycle under applicable data-protection and employee-data rules. Check any binding policy or works agreement; do not assume the register is universally required.</w:t>
            </w:r>
          </w:p>
          <w:p>
            <w:pPr>
              <w:spacing w:before="0" w:after="40" w:line="250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 xml:space="preserve">Works-council check: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Determine whether a works-council agreement/Betriebsvereinbarung applies and whether the system is used or capable of monitoring conduct or performance. That may require employee-representation involvement before introduction or material change. An individual disclosure does not automatically do so.</w:t>
            </w:r>
          </w:p>
          <w:p>
            <w:pPr>
              <w:spacing w:before="0" w:after="40" w:line="250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 xml:space="preserve">Local action: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Germany HR + Employee Relations + Legal/Privacy record the local validation and obtain any required engagement before changing the system or expanding access.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2160"/>
            <w:shd w:fill="EAF0F5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DejaVu Sans" w:hAnsi="DejaVu Sans" w:eastAsia="DejaVu Sans"/>
                <w:b/>
                <w:i w:val="0"/>
                <w:color w:val="17324D"/>
                <w:sz w:val="13"/>
              </w:rPr>
              <w:t>COMMON FLOOR</w:t>
            </w:r>
          </w:p>
        </w:tc>
        <w:tc>
          <w:tcPr>
            <w:tcW w:type="dxa" w:w="12024"/>
            <w:shd w:fill="EAF0F5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Notice + purpose | necessity + minimisation | limited access | transparent follow-up | retention/deletion review | security | rights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2160"/>
            <w:shd w:fill="FFF3DD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FFF3DD"/>
              <w:left w:sz="6" w:val="single" w:color="FFF3DD"/>
              <w:bottom w:sz="6" w:val="single" w:color="FFF3DD"/>
              <w:right w:sz="6" w:val="single" w:color="FFF3DD"/>
            </w:tcBorders>
            <w:vAlign w:val="top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3"/>
              </w:rPr>
              <w:t>TERMS</w:t>
            </w:r>
          </w:p>
        </w:tc>
        <w:tc>
          <w:tcPr>
            <w:tcW w:type="dxa" w:w="12024"/>
            <w:shd w:fill="FFF3DD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FFF3DD"/>
              <w:left w:sz="6" w:val="single" w:color="FFF3DD"/>
              <w:bottom w:sz="6" w:val="single" w:color="FFF3DD"/>
              <w:right w:sz="6" w:val="single" w:color="FFF3DD"/>
            </w:tcBorders>
            <w:vAlign w:val="top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Mandatory = law, binding policy/term, or applicable employee-representation instrument. Recommended = professional or operational baseline until adopted as binding.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9648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>OPERATING STANDARD</w:t>
            </w:r>
          </w:p>
        </w:tc>
        <w:tc>
          <w:tcPr>
            <w:tcW w:type="dxa" w:w="4464"/>
          </w:tcPr>
          <w:p>
            <w:pPr>
              <w:spacing w:before="0" w:after="0" w:line="250" w:lineRule="auto"/>
              <w:jc w:val="right"/>
            </w:pPr>
            <w:r/>
            <w:r>
              <w:rPr>
                <w:rFonts w:ascii="DejaVu Sans" w:hAnsi="DejaVu Sans" w:eastAsia="DejaVu Sans"/>
                <w:b/>
                <w:i w:val="0"/>
                <w:color w:val="63717D"/>
                <w:sz w:val="13"/>
              </w:rPr>
              <w:t>FRANCE + GERMANY  |  2025 + 2026</w:t>
            </w:r>
          </w:p>
        </w:tc>
      </w:tr>
    </w:tbl>
    <w:p>
      <w:pPr>
        <w:spacing w:before="20" w:after="20" w:line="240" w:lineRule="auto"/>
      </w:pPr>
      <w:r>
        <w:rPr>
          <w:rFonts w:ascii="DejaVu Sans" w:hAnsi="DejaVu Sans" w:eastAsia="DejaVu Sans"/>
          <w:b/>
          <w:i w:val="0"/>
          <w:color w:val="17324D"/>
          <w:sz w:val="44"/>
        </w:rPr>
        <w:t>Mandatory versus recommended</w:t>
      </w:r>
    </w:p>
    <w:p>
      <w:pPr>
        <w:spacing w:before="0" w:after="160" w:line="240" w:lineRule="auto"/>
      </w:pPr>
      <w:r>
        <w:rPr>
          <w:rFonts w:ascii="DejaVu Sans" w:hAnsi="DejaVu Sans" w:eastAsia="DejaVu Sans"/>
          <w:b w:val="0"/>
          <w:i w:val="0"/>
          <w:color w:val="63717D"/>
          <w:sz w:val="18"/>
        </w:rPr>
        <w:t>Classify the obligation before asking for evidence or taking action.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184"/>
      </w:tblGrid>
      <w:tr>
        <w:trPr>
          <w:trHeight w:val="25" w:hRule="exact"/>
        </w:trPr>
        <w:tc>
          <w:tcPr>
            <w:tcW w:type="dxa" w:w="14184"/>
            <w:shd w:fill="007F86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20" w:line="240" w:lineRule="auto"/>
            </w:pPr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2160"/>
            <w:shd w:fill="E7F3F3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E7F3F3"/>
              <w:left w:sz="6" w:val="single" w:color="E7F3F3"/>
              <w:bottom w:sz="6" w:val="single" w:color="E7F3F3"/>
              <w:right w:sz="6" w:val="single" w:color="E7F3F3"/>
            </w:tcBorders>
            <w:vAlign w:val="top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3"/>
              </w:rPr>
              <w:t>CLASSIFICATION RULE</w:t>
            </w:r>
          </w:p>
        </w:tc>
        <w:tc>
          <w:tcPr>
            <w:tcW w:type="dxa" w:w="12024"/>
            <w:shd w:fill="E7F3F3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E7F3F3"/>
              <w:left w:sz="6" w:val="single" w:color="E7F3F3"/>
              <w:bottom w:sz="6" w:val="single" w:color="E7F3F3"/>
              <w:right w:sz="6" w:val="single" w:color="E7F3F3"/>
            </w:tcBorders>
            <w:vAlign w:val="top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Mandatory means a requirement from applicable law, a binding internal policy/contract, or a valid local employee-representation instrument. Recommended means a proportionate professional or operational control; it becomes mandatory only if adopted into a binding instrument.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CFD8DE"/>
          <w:left w:val="single" w:sz="5" w:space="0" w:color="CFD8DE"/>
          <w:bottom w:val="single" w:sz="5" w:space="0" w:color="CFD8DE"/>
          <w:right w:val="single" w:sz="5" w:space="0" w:color="CFD8DE"/>
          <w:insideH w:val="single" w:sz="5" w:space="0" w:color="CFD8DE"/>
          <w:insideV w:val="single" w:sz="5" w:space="0" w:color="CFD8DE"/>
        </w:tblBorders>
      </w:tblPr>
      <w:tblGrid>
        <w:gridCol w:w="3546"/>
        <w:gridCol w:w="3546"/>
        <w:gridCol w:w="3546"/>
        <w:gridCol w:w="3546"/>
      </w:tblGrid>
      <w:tr>
        <w:trPr>
          <w:cantSplit/>
        </w:trPr>
        <w:tc>
          <w:tcPr>
            <w:tcW w:type="dxa" w:w="3096"/>
            <w:shd w:fill="17324D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DejaVu Sans" w:hAnsi="DejaVu Sans" w:eastAsia="DejaVu Sans"/>
                <w:b/>
                <w:i w:val="0"/>
                <w:color w:val="FFFFFF"/>
                <w:sz w:val="13"/>
              </w:rPr>
              <w:t>CATEGORY</w:t>
            </w:r>
          </w:p>
        </w:tc>
        <w:tc>
          <w:tcPr>
            <w:tcW w:type="dxa" w:w="2232"/>
            <w:shd w:fill="17324D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DejaVu Sans" w:hAnsi="DejaVu Sans" w:eastAsia="DejaVu Sans"/>
                <w:b/>
                <w:i w:val="0"/>
                <w:color w:val="FFFFFF"/>
                <w:sz w:val="13"/>
              </w:rPr>
              <w:t>STATUS</w:t>
            </w:r>
          </w:p>
        </w:tc>
        <w:tc>
          <w:tcPr>
            <w:tcW w:type="dxa" w:w="5256"/>
            <w:shd w:fill="17324D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DejaVu Sans" w:hAnsi="DejaVu Sans" w:eastAsia="DejaVu Sans"/>
                <w:b/>
                <w:i w:val="0"/>
                <w:color w:val="FFFFFF"/>
                <w:sz w:val="13"/>
              </w:rPr>
              <w:t>OPERATING RULE</w:t>
            </w:r>
          </w:p>
        </w:tc>
        <w:tc>
          <w:tcPr>
            <w:tcW w:type="dxa" w:w="3600"/>
            <w:shd w:fill="17324D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DejaVu Sans" w:hAnsi="DejaVu Sans" w:eastAsia="DejaVu Sans"/>
                <w:b/>
                <w:i w:val="0"/>
                <w:color w:val="FFFFFF"/>
                <w:sz w:val="13"/>
              </w:rPr>
              <w:t>BASIS / LIMIT</w:t>
            </w:r>
          </w:p>
        </w:tc>
      </w:tr>
      <w:tr>
        <w:trPr>
          <w:cantSplit/>
        </w:trPr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Employee notice, purpose and rights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MANDATORY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3"/>
              </w:rPr>
              <w:t>Give an understandable notice before collection/use; state why the register exists, who can access it, how long it is kept and how to raise a rights/privacy question.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3"/>
              </w:rPr>
              <w:t>Applicable data-protection transparency and purpose rules.</w:t>
            </w:r>
          </w:p>
        </w:tc>
      </w:tr>
      <w:tr>
        <w:trPr>
          <w:cantSplit/>
        </w:trPr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Relevant disclosure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MANDATORY*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3"/>
              </w:rPr>
              <w:t>Require disclosure only to the extent a binding policy, employment term or valid local instrument requires it; otherwise use it as the recommended baseline for a stated conflict purpose.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3"/>
              </w:rPr>
              <w:t>The basis is the applicable instrument, not a universal France/Germany register mandate.</w:t>
            </w:r>
          </w:p>
        </w:tc>
      </w:tr>
      <w:tr>
        <w:trPr>
          <w:cantSplit/>
        </w:trPr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Targeted follow-up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MANDATORY*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3"/>
              </w:rPr>
              <w:t>Ask only the facts needed to decide whether impartiality may be affected, when a risk signal or policy requires review. Do not investigate every entry by default.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3"/>
              </w:rPr>
              <w:t>Necessity/proportionality and a lawful decision process; classify the local trigger.</w:t>
            </w:r>
          </w:p>
        </w:tc>
      </w:tr>
      <w:tr>
        <w:trPr>
          <w:cantSplit/>
        </w:trPr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Mitigation for material conflict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MANDATORY*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3"/>
              </w:rPr>
              <w:t>Before affected decision-making continues, apply a documented safeguard such as recusal, reassignment, independent review or restricted access.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3"/>
              </w:rPr>
              <w:t>Conflict policy or duty to protect impartial decisions; record the rationale.</w:t>
            </w:r>
          </w:p>
        </w:tc>
      </w:tr>
      <w:tr>
        <w:trPr>
          <w:cantSplit/>
        </w:trPr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Access and onward use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MANDATORY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3"/>
              </w:rPr>
              <w:t>Limit raw-register access to named register operations, Legal/Privacy and designated HR/ethics reviewers. Send managers an action instruction, not a raw row.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3"/>
              </w:rPr>
              <w:t>Purpose limitation, security and minimisation; no hiring/procurement reuse.</w:t>
            </w:r>
          </w:p>
        </w:tc>
      </w:tr>
      <w:tr>
        <w:trPr>
          <w:cantSplit/>
        </w:trPr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Retention and deletion review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MANDATORY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3"/>
              </w:rPr>
              <w:t>Set a purpose-linked lifecycle; review and delete/anonymise entries and supporting information when no longer needed, retaining only justified audit evidence.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3"/>
              </w:rPr>
              <w:t>Storage limitation and accountability; no invented fixed statutory period.</w:t>
            </w:r>
          </w:p>
        </w:tc>
      </w:tr>
      <w:tr>
        <w:trPr>
          <w:cantSplit/>
        </w:trPr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Employee-representation engagement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MANDATORY WHEN TRIGGERED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3"/>
              </w:rPr>
              <w:t>Check the France/Germany local process before a material system/use change; engage where law or a valid instrument requires it.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3"/>
              </w:rPr>
              <w:t>Trigger depends on monitoring design, work impact and local instrument; not every entry.</w:t>
            </w:r>
          </w:p>
        </w:tc>
      </w:tr>
      <w:tr>
        <w:trPr>
          <w:cantSplit/>
        </w:trPr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Data repair and risk taxonomy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2"/>
              </w:rPr>
              <w:t>RECOMMENDED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3"/>
              </w:rPr>
              <w:t>Deduplicate people, quarantine malformed dates, filter out-of-scope contractors, normalize labels and require human assessment.</w:t>
            </w:r>
          </w:p>
        </w:tc>
        <w:tc>
          <w:tcPr>
            <w:tcW w:type="dxa" w:w="3546"/>
            <w:shd w:fill="F7F9FA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3"/>
              </w:rPr>
              <w:t>Operational assurance; needed before trend reporting, not a filing duty.</w:t>
            </w:r>
          </w:p>
        </w:tc>
      </w:tr>
      <w:tr>
        <w:trPr>
          <w:cantSplit/>
        </w:trPr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5-business-day triage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2"/>
              </w:rPr>
              <w:t>RECOMMENDED - PROPOSED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3"/>
              </w:rPr>
              <w:t>Assign an owner and complete initial triage within 5 business days of each new disclosure.</w:t>
            </w:r>
          </w:p>
        </w:tc>
        <w:tc>
          <w:tcPr>
            <w:tcW w:type="dxa" w:w="3546"/>
            <w:shd w:fill="FFFFFF" w:val="clear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3"/>
              </w:rPr>
              <w:t>Proposed service control for dependable handling; not historical or statutory.</w:t>
            </w:r>
          </w:p>
        </w:tc>
      </w:tr>
    </w:tbl>
    <w:p>
      <w:pPr>
        <w:spacing w:before="40" w:after="0" w:line="240" w:lineRule="auto"/>
      </w:pPr>
      <w:r>
        <w:rPr>
          <w:rFonts w:ascii="DejaVu Sans" w:hAnsi="DejaVu Sans" w:eastAsia="DejaVu Sans"/>
          <w:b/>
          <w:i w:val="0"/>
          <w:color w:val="A86600"/>
          <w:sz w:val="13"/>
        </w:rPr>
        <w:t xml:space="preserve">* CONDITIONAL  </w:t>
      </w:r>
      <w:r>
        <w:rPr>
          <w:rFonts w:ascii="DejaVu Sans" w:hAnsi="DejaVu Sans" w:eastAsia="DejaVu Sans"/>
          <w:b w:val="0"/>
          <w:i w:val="0"/>
          <w:color w:val="63717D"/>
          <w:sz w:val="13"/>
        </w:rPr>
        <w:t>Mandatory only when the relevant local law, policy, employment term or employee-representation instrument triggers it. Data-protection principles still apply regardless.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9648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>ASSESSMENT ROUTE</w:t>
            </w:r>
          </w:p>
        </w:tc>
        <w:tc>
          <w:tcPr>
            <w:tcW w:type="dxa" w:w="4464"/>
          </w:tcPr>
          <w:p>
            <w:pPr>
              <w:spacing w:before="0" w:after="0" w:line="250" w:lineRule="auto"/>
              <w:jc w:val="right"/>
            </w:pPr>
            <w:r/>
            <w:r>
              <w:rPr>
                <w:rFonts w:ascii="DejaVu Sans" w:hAnsi="DejaVu Sans" w:eastAsia="DejaVu Sans"/>
                <w:b/>
                <w:i w:val="0"/>
                <w:color w:val="63717D"/>
                <w:sz w:val="13"/>
              </w:rPr>
              <w:t>FRANCE + GERMANY  |  2025 + 2026</w:t>
            </w:r>
          </w:p>
        </w:tc>
      </w:tr>
    </w:tbl>
    <w:p>
      <w:pPr>
        <w:spacing w:before="20" w:after="20" w:line="240" w:lineRule="auto"/>
      </w:pPr>
      <w:r>
        <w:rPr>
          <w:rFonts w:ascii="DejaVu Sans" w:hAnsi="DejaVu Sans" w:eastAsia="DejaVu Sans"/>
          <w:b/>
          <w:i w:val="0"/>
          <w:color w:val="17324D"/>
          <w:sz w:val="44"/>
        </w:rPr>
        <w:t>A disclosure is not a finding</w:t>
      </w:r>
    </w:p>
    <w:p>
      <w:pPr>
        <w:spacing w:before="0" w:after="160" w:line="240" w:lineRule="auto"/>
      </w:pPr>
      <w:r>
        <w:rPr>
          <w:rFonts w:ascii="DejaVu Sans" w:hAnsi="DejaVu Sans" w:eastAsia="DejaVu Sans"/>
          <w:b w:val="0"/>
          <w:i w:val="0"/>
          <w:color w:val="63717D"/>
          <w:sz w:val="18"/>
        </w:rPr>
        <w:t>Use facts and proportionate safeguards; do not let a relationship or label decide the outcome.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184"/>
      </w:tblGrid>
      <w:tr>
        <w:trPr>
          <w:trHeight w:val="25" w:hRule="exact"/>
        </w:trPr>
        <w:tc>
          <w:tcPr>
            <w:tcW w:type="dxa" w:w="14184"/>
            <w:shd w:fill="007F86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20" w:line="240" w:lineRule="auto"/>
            </w:pPr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728"/>
        <w:gridCol w:w="4728"/>
        <w:gridCol w:w="4728"/>
      </w:tblGrid>
      <w:tr>
        <w:tc>
          <w:tcPr>
            <w:tcW w:type="dxa" w:w="4680"/>
            <w:shd w:fill="E7F3F3" w:val="clea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sz="6" w:val="single" w:color="E7F3F3"/>
              <w:left w:sz="6" w:val="single" w:color="E7F3F3"/>
              <w:bottom w:sz="6" w:val="single" w:color="E7F3F3"/>
              <w:right w:sz="6" w:val="single" w:color="E7F3F3"/>
            </w:tcBorders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3"/>
              </w:rPr>
              <w:t>DISCLOSURE</w:t>
            </w:r>
          </w:p>
          <w:p>
            <w:pPr>
              <w:spacing w:before="0" w:after="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>Employee statement that an outside interest exists.</w:t>
            </w:r>
          </w:p>
        </w:tc>
        <w:tc>
          <w:tcPr>
            <w:tcW w:type="dxa" w:w="4680"/>
            <w:shd w:fill="EAF0F5" w:val="clea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17324D"/>
                <w:sz w:val="13"/>
              </w:rPr>
              <w:t>CONFLICT</w:t>
            </w:r>
          </w:p>
          <w:p>
            <w:pPr>
              <w:spacing w:before="0" w:after="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>Contextual assessment of influence, involvement and impact.</w:t>
            </w:r>
          </w:p>
        </w:tc>
        <w:tc>
          <w:tcPr>
            <w:tcW w:type="dxa" w:w="4680"/>
            <w:shd w:fill="FFF3DD" w:val="clea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sz="6" w:val="single" w:color="FFF3DD"/>
              <w:left w:sz="6" w:val="single" w:color="FFF3DD"/>
              <w:bottom w:sz="6" w:val="single" w:color="FFF3DD"/>
              <w:right w:sz="6" w:val="single" w:color="FFF3DD"/>
            </w:tcBorders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3"/>
              </w:rPr>
              <w:t>CLEARANCE</w:t>
            </w:r>
          </w:p>
          <w:p>
            <w:pPr>
              <w:spacing w:before="0" w:after="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>Never inferred from registration; record scope and current facts.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728"/>
        <w:gridCol w:w="4728"/>
        <w:gridCol w:w="4728"/>
      </w:tblGrid>
      <w:tr>
        <w:tc>
          <w:tcPr>
            <w:tcW w:type="dxa" w:w="4579"/>
            <w:shd w:fill="E9F3ED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3C7357"/>
              <w:left w:sz="6" w:val="single" w:color="3C7357"/>
              <w:bottom w:sz="6" w:val="single" w:color="3C7357"/>
              <w:right w:sz="6" w:val="single" w:color="3C7357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3C7357"/>
                <w:sz w:val="14"/>
              </w:rPr>
              <w:t>1  LOW / NO CURRENT SIGNAL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4"/>
              </w:rPr>
              <w:t>A family relationship alone; no reporting line, decision influence, financial interest or actual involvement identified.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4"/>
              </w:rPr>
              <w:t>Record limited rationale: “no conflict identified on current facts.” Do not call it permanent clearance.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4"/>
              </w:rPr>
              <w:t>No extra questions by default; revisit only on a defined trigger.</w:t>
            </w:r>
          </w:p>
        </w:tc>
        <w:tc>
          <w:tcPr>
            <w:tcW w:type="dxa" w:w="4579"/>
            <w:shd w:fill="FFF3DD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A86600"/>
              <w:left w:sz="6" w:val="single" w:color="A86600"/>
              <w:bottom w:sz="6" w:val="single" w:color="A86600"/>
              <w:right w:sz="6" w:val="single" w:color="A86600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4"/>
              </w:rPr>
              <w:t>2  UNCERTAIN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4"/>
              </w:rPr>
              <w:t>Facts are incomplete, a label is inconsistent, or influence/involvement is unclear.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4"/>
              </w:rPr>
              <w:t>Ask limited, purpose-specific clarification; involve Legal/Privacy if scope or necessity is unclear.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4"/>
              </w:rPr>
              <w:t>Keep access restricted and escalate if unresolved after the proposed 5-business-day triage.</w:t>
            </w:r>
          </w:p>
        </w:tc>
        <w:tc>
          <w:tcPr>
            <w:tcW w:type="dxa" w:w="4579"/>
            <w:shd w:fill="FBE9E7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A5453E"/>
              <w:left w:sz="6" w:val="single" w:color="A5453E"/>
              <w:bottom w:sz="6" w:val="single" w:color="A5453E"/>
              <w:right w:sz="6" w:val="single" w:color="A5453E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5453E"/>
                <w:sz w:val="14"/>
              </w:rPr>
              <w:t>3  MATERIAL / POTENTIAL CONFLICT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4"/>
              </w:rPr>
              <w:t>The outside interest intersects with a decision the employee can influence or information they can access.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4"/>
              </w:rPr>
              <w:t>Pause the affected decision role; recuse/reassign or use independent review; restrict access; document the rationale.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4"/>
              </w:rPr>
              <w:t>Escalate to country HR/Employee Relations + In-house Legal/Privacy; include the decision owner for client impact.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6983"/>
            <w:shd w:fill="FBE9E7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A5453E"/>
              <w:left w:sz="6" w:val="single" w:color="A5453E"/>
              <w:bottom w:sz="6" w:val="single" w:color="A5453E"/>
              <w:right w:sz="6" w:val="single" w:color="A5453E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5453E"/>
                <w:sz w:val="16"/>
              </w:rPr>
              <w:t>WHAT SUPERVISORS MUST STOP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Do not treat a family relationship or register label as an automatic conflict, high-risk classification, misconduct finding, or clearance decision.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Do not copy full register rows into unrelated hiring or procurement files.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Do not use the register as a blacklist or general conduct screen.</w:t>
            </w:r>
          </w:p>
        </w:tc>
        <w:tc>
          <w:tcPr>
            <w:tcW w:type="dxa" w:w="6983"/>
            <w:shd w:fill="E7F3F3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007F86"/>
              <w:left w:sz="6" w:val="single" w:color="007F86"/>
              <w:bottom w:sz="6" w:val="single" w:color="007F86"/>
              <w:right w:sz="6" w:val="single" w:color="007F86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7F86"/>
                <w:sz w:val="16"/>
              </w:rPr>
              <w:t>SAFE OPERATIONAL ALTERNATIVE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Route the case to the register owner/HR with only an employee ID, relevant category and requested decision safeguard.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Use the separate lawful hiring/procurement process for those purposes.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Share only the action required (for example, recusal), not names or family details. A red label is a triage flag, not a legal or misconduct finding.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2160"/>
            <w:shd w:fill="EAF0F5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DejaVu Sans" w:hAnsi="DejaVu Sans" w:eastAsia="DejaVu Sans"/>
                <w:b/>
                <w:i w:val="0"/>
                <w:color w:val="17324D"/>
                <w:sz w:val="13"/>
              </w:rPr>
              <w:t>PROPORTIONALITY TEST</w:t>
            </w:r>
          </w:p>
        </w:tc>
        <w:tc>
          <w:tcPr>
            <w:tcW w:type="dxa" w:w="12024"/>
            <w:shd w:fill="EAF0F5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Collect no more than is needed to assess reporting lines, decision influence, financial interest, actual involvement, information access and workable mitigation. A family relationship is a fact requiring context, not the conclusion.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9648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>DATA-QUALITY ASSESSMENT</w:t>
            </w:r>
          </w:p>
        </w:tc>
        <w:tc>
          <w:tcPr>
            <w:tcW w:type="dxa" w:w="4464"/>
          </w:tcPr>
          <w:p>
            <w:pPr>
              <w:spacing w:before="0" w:after="0" w:line="250" w:lineRule="auto"/>
              <w:jc w:val="right"/>
            </w:pPr>
            <w:r/>
            <w:r>
              <w:rPr>
                <w:rFonts w:ascii="DejaVu Sans" w:hAnsi="DejaVu Sans" w:eastAsia="DejaVu Sans"/>
                <w:b/>
                <w:i w:val="0"/>
                <w:color w:val="63717D"/>
                <w:sz w:val="13"/>
              </w:rPr>
              <w:t>FRANCE + GERMANY  |  2025 + 2026</w:t>
            </w:r>
          </w:p>
        </w:tc>
      </w:tr>
    </w:tbl>
    <w:p>
      <w:pPr>
        <w:spacing w:before="20" w:after="20" w:line="240" w:lineRule="auto"/>
      </w:pPr>
      <w:r>
        <w:rPr>
          <w:rFonts w:ascii="DejaVu Sans" w:hAnsi="DejaVu Sans" w:eastAsia="DejaVu Sans"/>
          <w:b/>
          <w:i w:val="0"/>
          <w:color w:val="17324D"/>
          <w:sz w:val="44"/>
        </w:rPr>
        <w:t>Trend signal, not yet a validated trend</w:t>
      </w:r>
    </w:p>
    <w:p>
      <w:pPr>
        <w:spacing w:before="0" w:after="160" w:line="240" w:lineRule="auto"/>
      </w:pPr>
      <w:r>
        <w:rPr>
          <w:rFonts w:ascii="DejaVu Sans" w:hAnsi="DejaVu Sans" w:eastAsia="DejaVu Sans"/>
          <w:b w:val="0"/>
          <w:i w:val="0"/>
          <w:color w:val="63717D"/>
          <w:sz w:val="18"/>
        </w:rPr>
        <w:t>The workbooks justify remediation and careful review, not a manufactured count or percentage.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184"/>
      </w:tblGrid>
      <w:tr>
        <w:trPr>
          <w:trHeight w:val="25" w:hRule="exact"/>
        </w:trPr>
        <w:tc>
          <w:tcPr>
            <w:tcW w:type="dxa" w:w="14184"/>
            <w:shd w:fill="007F86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20" w:line="240" w:lineRule="auto"/>
            </w:pPr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6983"/>
            <w:shd w:fill="EAF0F5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17324D"/>
              <w:left w:sz="6" w:val="single" w:color="17324D"/>
              <w:bottom w:sz="6" w:val="single" w:color="17324D"/>
              <w:right w:sz="6" w:val="single" w:color="17324D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17324D"/>
                <w:sz w:val="16"/>
              </w:rPr>
              <w:t>FACT FROM BRIEF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The 2025 and 2026 workbooks are reported to show a material rise in family-interest disclosures.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The raw workbooks, counts and percentages are not available for this memo.</w:t>
            </w:r>
          </w:p>
        </w:tc>
        <w:tc>
          <w:tcPr>
            <w:tcW w:type="dxa" w:w="6983"/>
            <w:shd w:fill="FFF3DD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A86600"/>
              <w:left w:sz="6" w:val="single" w:color="A86600"/>
              <w:bottom w:sz="6" w:val="single" w:color="A86600"/>
              <w:right w:sz="6" w:val="single" w:color="A86600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6"/>
              </w:rPr>
              <w:t>ASSESSMENT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Do not safely treat the rise as a validated trend yet. It may reflect genuine change, data defects, or both.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No historical number is asserted here; the direction is a reported signal only.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rPr>
          <w:trHeight w:val="892" w:hRule="atLeast"/>
          <w:cantSplit/>
          <w:cantSplit/>
        </w:trPr>
        <w:tc>
          <w:tcPr>
            <w:tcW w:type="dxa" w:w="6983"/>
            <w:shd w:fill="FBE9E7" w:val="clear"/>
            <w:tcMar>
              <w:top w:w="105" w:type="dxa"/>
              <w:start w:w="125" w:type="dxa"/>
              <w:bottom w:w="100" w:type="dxa"/>
              <w:end w:w="125" w:type="dxa"/>
            </w:tcMar>
            <w:tcBorders>
              <w:top w:sz="6" w:val="single" w:color="A5453E"/>
              <w:left w:sz="6" w:val="single" w:color="A5453E"/>
              <w:bottom w:sz="6" w:val="single" w:color="A5453E"/>
              <w:right w:sz="6" w:val="single" w:color="A5453E"/>
            </w:tcBorders>
            <w:vAlign w:val="top"/>
          </w:tcPr>
          <w:p>
            <w:pPr>
              <w:spacing w:before="0" w:after="6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5453E"/>
                <w:sz w:val="14"/>
              </w:rPr>
              <w:t>DUPLICATE EMPLOYEES</w:t>
            </w:r>
          </w:p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>The same person may be counted more than once. De-duplicate to one unique employee/disclosure relationship before comparing periods.</w:t>
            </w:r>
          </w:p>
        </w:tc>
        <w:tc>
          <w:tcPr>
            <w:tcW w:type="dxa" w:w="6983"/>
            <w:shd w:fill="FFF3DD" w:val="clear"/>
            <w:tcMar>
              <w:top w:w="105" w:type="dxa"/>
              <w:start w:w="125" w:type="dxa"/>
              <w:bottom w:w="100" w:type="dxa"/>
              <w:end w:w="125" w:type="dxa"/>
            </w:tcMar>
            <w:tcBorders>
              <w:top w:sz="6" w:val="single" w:color="A86600"/>
              <w:left w:sz="6" w:val="single" w:color="A86600"/>
              <w:bottom w:sz="6" w:val="single" w:color="A86600"/>
              <w:right w:sz="6" w:val="single" w:color="A86600"/>
            </w:tcBorders>
            <w:vAlign w:val="top"/>
          </w:tcPr>
          <w:p>
            <w:pPr>
              <w:spacing w:before="0" w:after="6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4"/>
              </w:rPr>
              <w:t>MALFORMED DATES</w:t>
            </w:r>
          </w:p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>An invalid or ambiguous date cannot be assigned confidently to 2025 or 2026. Quarantine it; do not infer a period.</w:t>
            </w:r>
          </w:p>
        </w:tc>
      </w:tr>
      <w:tr>
        <w:trPr>
          <w:trHeight w:val="892" w:hRule="atLeast"/>
          <w:cantSplit/>
          <w:cantSplit/>
        </w:trPr>
        <w:tc>
          <w:tcPr>
            <w:tcW w:type="dxa" w:w="6983"/>
            <w:shd w:fill="EAF0F5" w:val="clear"/>
            <w:tcMar>
              <w:top w:w="105" w:type="dxa"/>
              <w:start w:w="125" w:type="dxa"/>
              <w:bottom w:w="100" w:type="dxa"/>
              <w:end w:w="125" w:type="dxa"/>
            </w:tcMar>
            <w:tcBorders>
              <w:top w:sz="6" w:val="single" w:color="17324D"/>
              <w:left w:sz="6" w:val="single" w:color="17324D"/>
              <w:bottom w:sz="6" w:val="single" w:color="17324D"/>
              <w:right w:sz="6" w:val="single" w:color="17324D"/>
            </w:tcBorders>
            <w:vAlign w:val="top"/>
          </w:tcPr>
          <w:p>
            <w:pPr>
              <w:spacing w:before="0" w:after="6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17324D"/>
                <w:sz w:val="14"/>
              </w:rPr>
              <w:t>IRRELEVANT CONTRACTORS</w:t>
            </w:r>
          </w:p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>Contractor rows are outside the employee-register trend and employee-obligation analysis unless a separate, supported scope basis exists.</w:t>
            </w:r>
          </w:p>
        </w:tc>
        <w:tc>
          <w:tcPr>
            <w:tcW w:type="dxa" w:w="6983"/>
            <w:shd w:fill="E7F3F3" w:val="clear"/>
            <w:tcMar>
              <w:top w:w="105" w:type="dxa"/>
              <w:start w:w="125" w:type="dxa"/>
              <w:bottom w:w="100" w:type="dxa"/>
              <w:end w:w="125" w:type="dxa"/>
            </w:tcMar>
            <w:tcBorders>
              <w:top w:sz="6" w:val="single" w:color="005C62"/>
              <w:left w:sz="6" w:val="single" w:color="005C62"/>
              <w:bottom w:sz="6" w:val="single" w:color="005C62"/>
              <w:right w:sz="6" w:val="single" w:color="005C62"/>
            </w:tcBorders>
            <w:vAlign w:val="top"/>
          </w:tcPr>
          <w:p>
            <w:pPr>
              <w:spacing w:before="0" w:after="6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4"/>
              </w:rPr>
              <w:t>INCONSISTENT LABELS</w:t>
            </w:r>
          </w:p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5"/>
              </w:rPr>
              <w:t>Labels do not provide a stable category or legal conclusion. Normalize definitions and have a reviewer resolve exceptions.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2160"/>
            <w:shd w:fill="EAF0F5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DejaVu Sans" w:hAnsi="DejaVu Sans" w:eastAsia="DejaVu Sans"/>
                <w:b/>
                <w:i w:val="0"/>
                <w:color w:val="17324D"/>
                <w:sz w:val="13"/>
              </w:rPr>
              <w:t>UNKNOWN WITHOUT RAW WORKBOOKS</w:t>
            </w:r>
          </w:p>
        </w:tc>
        <w:tc>
          <w:tcPr>
            <w:tcW w:type="dxa" w:w="12024"/>
            <w:shd w:fill="EAF0F5" w:val="clea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sz="6" w:val="single" w:color="EAF0F5"/>
              <w:left w:sz="6" w:val="single" w:color="EAF0F5"/>
              <w:bottom w:sz="6" w:val="single" w:color="EAF0F5"/>
              <w:right w:sz="6" w:val="single" w:color="EAF0F5"/>
            </w:tcBorders>
            <w:vAlign w:val="top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Unique employees | valid period assignment | France/Germany split | repeat versus new disclosures | denominator/scope | label mapping | actual mitigation/outcome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6983"/>
            <w:shd w:fill="E7F3F3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007F86"/>
              <w:left w:sz="6" w:val="single" w:color="007F86"/>
              <w:bottom w:sz="6" w:val="single" w:color="007F86"/>
              <w:right w:sz="6" w:val="single" w:color="007F86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7F86"/>
                <w:sz w:val="16"/>
              </w:rPr>
              <w:t>PROPOSED RECONCILIATION RECORD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Read-only source snapshot; stable unique-person key; date exception log; contractor scope decision; normalized label map; reviewer sign-off.</w:t>
            </w:r>
          </w:p>
        </w:tc>
        <w:tc>
          <w:tcPr>
            <w:tcW w:type="dxa" w:w="6983"/>
            <w:shd w:fill="E9F3ED" w:val="clear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sz="6" w:val="single" w:color="3C7357"/>
              <w:left w:sz="6" w:val="single" w:color="3C7357"/>
              <w:bottom w:sz="6" w:val="single" w:color="3C7357"/>
              <w:right w:sz="6" w:val="single" w:color="3C7357"/>
            </w:tcBorders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3C7357"/>
                <w:sz w:val="16"/>
              </w:rPr>
              <w:t>DECISION IMPLICATION</w:t>
            </w:r>
          </w:p>
          <w:p>
            <w:pPr>
              <w:spacing w:before="0" w:after="40" w:line="247" w:lineRule="auto"/>
            </w:pPr>
            <w:r>
              <w:rPr>
                <w:rFonts w:ascii="DejaVu Sans" w:hAnsi="DejaVu Sans" w:eastAsia="DejaVu Sans"/>
                <w:b/>
                <w:i w:val="0"/>
                <w:color w:val="007F86"/>
                <w:sz w:val="15"/>
              </w:rPr>
              <w:t xml:space="preserve">- </w:t>
            </w:r>
            <w:r>
              <w:rPr>
                <w:rFonts w:ascii="DejaVu Sans" w:hAnsi="DejaVu Sans" w:eastAsia="DejaVu Sans"/>
                <w:b w:val="0"/>
                <w:i w:val="0"/>
                <w:color w:val="24313D"/>
                <w:sz w:val="15"/>
              </w:rPr>
              <w:t>Treat the rise as a review trigger, not proof of increasing conflict. Continue governed operation; do not use the unvalidated rise to justify blanket questioning or wider circulation.</w:t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9648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7F86"/>
                <w:sz w:val="14"/>
              </w:rPr>
              <w:t>CONDITIONS FOR CONTINUED USE</w:t>
            </w:r>
          </w:p>
        </w:tc>
        <w:tc>
          <w:tcPr>
            <w:tcW w:type="dxa" w:w="4464"/>
          </w:tcPr>
          <w:p>
            <w:pPr>
              <w:spacing w:before="0" w:after="0" w:line="250" w:lineRule="auto"/>
              <w:jc w:val="right"/>
            </w:pPr>
            <w:r/>
            <w:r>
              <w:rPr>
                <w:rFonts w:ascii="DejaVu Sans" w:hAnsi="DejaVu Sans" w:eastAsia="DejaVu Sans"/>
                <w:b/>
                <w:i w:val="0"/>
                <w:color w:val="63717D"/>
                <w:sz w:val="13"/>
              </w:rPr>
              <w:t>FRANCE + GERMANY  |  2025 + 2026</w:t>
            </w:r>
          </w:p>
        </w:tc>
      </w:tr>
    </w:tbl>
    <w:p>
      <w:pPr>
        <w:spacing w:before="20" w:after="20" w:line="240" w:lineRule="auto"/>
      </w:pPr>
      <w:r>
        <w:rPr>
          <w:rFonts w:ascii="DejaVu Sans" w:hAnsi="DejaVu Sans" w:eastAsia="DejaVu Sans"/>
          <w:b/>
          <w:i w:val="0"/>
          <w:color w:val="17324D"/>
          <w:sz w:val="44"/>
        </w:rPr>
        <w:t>Accountable action and client assurance</w:t>
      </w:r>
    </w:p>
    <w:p>
      <w:pPr>
        <w:spacing w:before="0" w:after="160" w:line="240" w:lineRule="auto"/>
      </w:pPr>
      <w:r>
        <w:rPr>
          <w:rFonts w:ascii="DejaVu Sans" w:hAnsi="DejaVu Sans" w:eastAsia="DejaVu Sans"/>
          <w:b w:val="0"/>
          <w:i w:val="0"/>
          <w:color w:val="63717D"/>
          <w:sz w:val="18"/>
        </w:rPr>
        <w:t>Each condition has an owner, a trigger, an evidence trail and an escalation route.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184"/>
      </w:tblGrid>
      <w:tr>
        <w:trPr>
          <w:trHeight w:val="25" w:hRule="exact"/>
        </w:trPr>
        <w:tc>
          <w:tcPr>
            <w:tcW w:type="dxa" w:w="14184"/>
            <w:shd w:fill="007F86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20" w:line="240" w:lineRule="auto"/>
            </w:pPr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CFD8DE"/>
          <w:left w:val="single" w:sz="5" w:space="0" w:color="CFD8DE"/>
          <w:bottom w:val="single" w:sz="5" w:space="0" w:color="CFD8DE"/>
          <w:right w:val="single" w:sz="5" w:space="0" w:color="CFD8DE"/>
          <w:insideH w:val="single" w:sz="5" w:space="0" w:color="CFD8DE"/>
          <w:insideV w:val="single" w:sz="5" w:space="0" w:color="CFD8DE"/>
        </w:tblBorders>
      </w:tblPr>
      <w:tblGrid>
        <w:gridCol w:w="2837"/>
        <w:gridCol w:w="2837"/>
        <w:gridCol w:w="2837"/>
        <w:gridCol w:w="2837"/>
        <w:gridCol w:w="2837"/>
      </w:tblGrid>
      <w:tr>
        <w:trPr>
          <w:cantSplit/>
        </w:trPr>
        <w:tc>
          <w:tcPr>
            <w:tcW w:type="dxa" w:w="3528"/>
            <w:shd w:fill="17324D" w:val="clear"/>
            <w:tcMar>
              <w:top w:w="65" w:type="dxa"/>
              <w:start w:w="78" w:type="dxa"/>
              <w:bottom w:w="65" w:type="dxa"/>
              <w:end w:w="78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FFFFFF"/>
                <w:sz w:val="12"/>
              </w:rPr>
              <w:t>ACTION</w:t>
            </w:r>
          </w:p>
        </w:tc>
        <w:tc>
          <w:tcPr>
            <w:tcW w:type="dxa" w:w="2088"/>
            <w:shd w:fill="17324D" w:val="clear"/>
            <w:tcMar>
              <w:top w:w="65" w:type="dxa"/>
              <w:start w:w="78" w:type="dxa"/>
              <w:bottom w:w="65" w:type="dxa"/>
              <w:end w:w="78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FFFFFF"/>
                <w:sz w:val="12"/>
              </w:rPr>
              <w:t>OWNER</w:t>
            </w:r>
          </w:p>
        </w:tc>
        <w:tc>
          <w:tcPr>
            <w:tcW w:type="dxa" w:w="2376"/>
            <w:shd w:fill="17324D" w:val="clear"/>
            <w:tcMar>
              <w:top w:w="65" w:type="dxa"/>
              <w:start w:w="78" w:type="dxa"/>
              <w:bottom w:w="65" w:type="dxa"/>
              <w:end w:w="78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FFFFFF"/>
                <w:sz w:val="12"/>
              </w:rPr>
              <w:t>PROPOSED TIMING / TRIGGER</w:t>
            </w:r>
          </w:p>
        </w:tc>
        <w:tc>
          <w:tcPr>
            <w:tcW w:type="dxa" w:w="3240"/>
            <w:shd w:fill="17324D" w:val="clear"/>
            <w:tcMar>
              <w:top w:w="65" w:type="dxa"/>
              <w:start w:w="78" w:type="dxa"/>
              <w:bottom w:w="65" w:type="dxa"/>
              <w:end w:w="78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FFFFFF"/>
                <w:sz w:val="12"/>
              </w:rPr>
              <w:t>EVIDENCE LEFT</w:t>
            </w:r>
          </w:p>
        </w:tc>
        <w:tc>
          <w:tcPr>
            <w:tcW w:type="dxa" w:w="2951"/>
            <w:shd w:fill="17324D" w:val="clear"/>
            <w:tcMar>
              <w:top w:w="65" w:type="dxa"/>
              <w:start w:w="78" w:type="dxa"/>
              <w:bottom w:w="65" w:type="dxa"/>
              <w:end w:w="78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FFFFFF"/>
                <w:sz w:val="12"/>
              </w:rPr>
              <w:t>ESCALATE WHEN</w:t>
            </w:r>
          </w:p>
        </w:tc>
      </w:tr>
      <w:tr>
        <w:trPr>
          <w:cantSplit/>
        </w:trPr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2"/>
              </w:rPr>
              <w:t>Repair the 2025/2026 comparison: preserve read-only source, deduplicate, quarantine malformed dates, exclude irrelevant contractors and normalize labels.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Register owner + HR data steward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2"/>
              </w:rPr>
              <w:t>Before any trend is reported or client assurance relies on it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2"/>
              </w:rPr>
              <w:t>Versioned reconciliation log; exception list; reviewer sign-off.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A5453E"/>
                <w:sz w:val="12"/>
              </w:rPr>
              <w:t>Unresolved scope/date ambiguity -&gt; In-house Legal + Privacy.</w:t>
            </w:r>
          </w:p>
        </w:tc>
      </w:tr>
      <w:tr>
        <w:trPr>
          <w:cantSplit/>
        </w:trPr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2"/>
              </w:rPr>
              <w:t>Intake and triage: assign an owner; classify low/uncertain/material from facts, not source label.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Register owner + HR/ethics reviewer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2"/>
              </w:rPr>
              <w:t>PROPOSED: initial triage within 5 business days of each new disclosure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2"/>
              </w:rPr>
              <w:t>Case ID; minimal facts; rationale; status; next review trigger.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A5453E"/>
                <w:sz w:val="12"/>
              </w:rPr>
              <w:t>Uncertain after triage or material signal -&gt; country HR/Employee Relations + Legal/Privacy.</w:t>
            </w:r>
          </w:p>
        </w:tc>
      </w:tr>
      <w:tr>
        <w:trPr>
          <w:cantSplit/>
        </w:trPr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2"/>
              </w:rPr>
              <w:t>Apply mitigation where needed: recusal, reassignment, independent review or access restriction.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Decision owner + HR + Legal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2"/>
              </w:rPr>
              <w:t>Before affected decision continues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2"/>
              </w:rPr>
              <w:t>Mitigation decision and scope; notified roles; access change.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A5453E"/>
                <w:sz w:val="12"/>
              </w:rPr>
              <w:t>Unresolved material conflict or client impact -&gt; Anselm + Jarek.</w:t>
            </w:r>
          </w:p>
        </w:tc>
      </w:tr>
      <w:tr>
        <w:trPr>
          <w:cantSplit/>
        </w:trPr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2"/>
              </w:rPr>
              <w:t>Validate France/Germany notice, purpose, access, retention and employee-representation trigger.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France/Germany HR + Employee Relations + Legal/Privacy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2"/>
              </w:rPr>
              <w:t>Before material redesign, new use or employee communication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2"/>
              </w:rPr>
              <w:t>Country validation note; approved notice; policy/works-instrument check; consultation record where applicable.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A5453E"/>
                <w:sz w:val="12"/>
              </w:rPr>
              <w:t>Local trigger or instrument unclear -&gt; local ER + Legal; keep use within the existing purpose pending validation.</w:t>
            </w:r>
          </w:p>
        </w:tc>
      </w:tr>
      <w:tr>
        <w:trPr>
          <w:cantSplit/>
        </w:trPr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2"/>
              </w:rPr>
              <w:t>Lock down use: named access, export log, no copies into hiring/procurement, manager receives outcome/action only.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IT/Security + Register owner + HR leadership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2"/>
              </w:rPr>
              <w:t>Before next export and at each access change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2"/>
              </w:rPr>
              <w:t>Access matrix; access log; manager briefing acknowledgement.</w:t>
            </w:r>
          </w:p>
        </w:tc>
        <w:tc>
          <w:tcPr>
            <w:tcW w:type="dxa" w:w="2837"/>
            <w:shd w:fill="FFFFFF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A5453E"/>
                <w:sz w:val="12"/>
              </w:rPr>
              <w:t>Unauthorized copy/access -&gt; Security + Legal/Privacy; remove copy and record incident.</w:t>
            </w:r>
          </w:p>
        </w:tc>
      </w:tr>
      <w:tr>
        <w:trPr>
          <w:cantSplit/>
        </w:trPr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24313D"/>
                <w:sz w:val="12"/>
              </w:rPr>
              <w:t>Correct the Brindlemere assurance and use the approved external wording below.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2"/>
              </w:rPr>
              <w:t>Account lead + In-house Legal/Privacy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24313D"/>
                <w:sz w:val="12"/>
              </w:rPr>
              <w:t>Before next response to Brindlemere Bureau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63717D"/>
                <w:sz w:val="12"/>
              </w:rPr>
              <w:t>Approved wording; send record; no employee-level disclosure.</w:t>
            </w:r>
          </w:p>
        </w:tc>
        <w:tc>
          <w:tcPr>
            <w:tcW w:type="dxa" w:w="2837"/>
            <w:shd w:fill="F7F9FA" w:val="clear"/>
            <w:tcMar>
              <w:top w:w="54" w:type="dxa"/>
              <w:start w:w="76" w:type="dxa"/>
              <w:bottom w:w="54" w:type="dxa"/>
              <w:end w:w="76" w:type="dxa"/>
            </w:tcMar>
            <w:vAlign w:val="center"/>
          </w:tcPr>
          <w:p>
            <w:pPr>
              <w:spacing w:before="0" w:after="0" w:line="250" w:lineRule="auto"/>
            </w:pPr>
            <w:r/>
            <w:r>
              <w:rPr>
                <w:rFonts w:ascii="DejaVu Sans" w:hAnsi="DejaVu Sans" w:eastAsia="DejaVu Sans"/>
                <w:b w:val="0"/>
                <w:i w:val="0"/>
                <w:color w:val="A5453E"/>
                <w:sz w:val="12"/>
              </w:rPr>
              <w:t>Request for raw data, guaranteed clearance or no questions -&gt; Legal; decline and qualify.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092"/>
        <w:gridCol w:w="7092"/>
      </w:tblGrid>
      <w:tr>
        <w:tc>
          <w:tcPr>
            <w:tcW w:type="dxa" w:w="6696"/>
            <w:shd w:fill="FFF3DD" w:val="clear"/>
            <w:tcMar>
              <w:top w:w="105" w:type="dxa"/>
              <w:start w:w="125" w:type="dxa"/>
              <w:bottom w:w="100" w:type="dxa"/>
              <w:end w:w="125" w:type="dxa"/>
            </w:tcMar>
            <w:tcBorders>
              <w:top w:sz="6" w:val="single" w:color="A86600"/>
              <w:left w:sz="6" w:val="single" w:color="A86600"/>
              <w:bottom w:sz="6" w:val="single" w:color="A86600"/>
              <w:right w:sz="6" w:val="single" w:color="A86600"/>
            </w:tcBorders>
            <w:vAlign w:val="top"/>
          </w:tcPr>
          <w:p>
            <w:pPr>
              <w:spacing w:before="0" w:after="6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A86600"/>
                <w:sz w:val="13"/>
              </w:rPr>
              <w:t>CORRECTION TO PRIOR 48-HOUR ASSURANCE</w:t>
            </w:r>
          </w:p>
          <w:p>
            <w:pPr>
              <w:spacing w:before="0" w:after="0" w:line="250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Reframe the earlier informal promise as a process clarification, not an attribution of fault: do not promise that a disclosure will receive no further questions or be cleared within 48 hours. The proposed internal control remains initial triage within 5 business days.</w:t>
            </w:r>
          </w:p>
        </w:tc>
        <w:tc>
          <w:tcPr>
            <w:tcW w:type="dxa" w:w="7488"/>
            <w:shd w:fill="E7F3F3" w:val="clear"/>
            <w:tcMar>
              <w:top w:w="105" w:type="dxa"/>
              <w:start w:w="125" w:type="dxa"/>
              <w:bottom w:w="100" w:type="dxa"/>
              <w:end w:w="125" w:type="dxa"/>
            </w:tcMar>
            <w:tcBorders>
              <w:top w:sz="6" w:val="single" w:color="007F86"/>
              <w:left w:sz="6" w:val="single" w:color="007F86"/>
              <w:bottom w:sz="6" w:val="single" w:color="007F86"/>
              <w:right w:sz="6" w:val="single" w:color="007F86"/>
            </w:tcBorders>
            <w:vAlign w:val="top"/>
          </w:tcPr>
          <w:p>
            <w:pPr>
              <w:spacing w:before="0" w:after="6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005C62"/>
                <w:sz w:val="13"/>
              </w:rPr>
              <w:t>EXTERNAL WORDING TO USE</w:t>
            </w:r>
          </w:p>
          <w:p>
            <w:pPr>
              <w:spacing w:before="0" w:after="0" w:line="250" w:lineRule="auto"/>
            </w:pPr>
            <w:r>
              <w:rPr>
                <w:rFonts w:ascii="DejaVu Sans" w:hAnsi="DejaVu Sans" w:eastAsia="DejaVu Sans"/>
                <w:b/>
                <w:i w:val="0"/>
                <w:color w:val="24313D"/>
                <w:sz w:val="14"/>
              </w:rPr>
              <w:t>“Our register supports a purpose-limited conflict review. We acknowledge disclosures promptly, and where facts require clarification we may ask limited, relevant questions and apply proportionate safeguards. Registration is not a misconduct finding or automatic clearance; we do not share employee-level or family details.”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184"/>
      </w:tblGrid>
      <w:tr>
        <w:tc>
          <w:tcPr>
            <w:tcW w:type="dxa" w:w="14184"/>
            <w:shd w:fill="17324D" w:val="clea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17324D"/>
              <w:left w:sz="6" w:val="single" w:color="17324D"/>
              <w:bottom w:sz="6" w:val="single" w:color="17324D"/>
              <w:right w:sz="6" w:val="single" w:color="17324D"/>
            </w:tcBorders>
            <w:vAlign w:val="top"/>
          </w:tcPr>
          <w:p>
            <w:pPr>
              <w:spacing w:before="0" w:after="60" w:line="240" w:lineRule="auto"/>
            </w:pPr>
            <w:r/>
            <w:r>
              <w:rPr>
                <w:rFonts w:ascii="DejaVu Sans" w:hAnsi="DejaVu Sans" w:eastAsia="DejaVu Sans"/>
                <w:b/>
                <w:i w:val="0"/>
                <w:color w:val="8FE0DC"/>
                <w:sz w:val="14"/>
              </w:rPr>
              <w:t>RECOMMENDATION STANDS</w:t>
            </w:r>
          </w:p>
          <w:p>
            <w:pPr>
              <w:spacing w:before="0" w:after="0" w:line="259" w:lineRule="auto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7"/>
              </w:rPr>
              <w:t>Continue the France and Germany employee outside-interests register subject to the conditions above. The 5-business-day triage control is proposed; it is not a historical workbook result or statutory deadline. With these controls, the register can support dependable, purpose-limited conflict governance without turning a disclosure into a verdict.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footerReference w:type="default" r:id="rId9"/>
      <w:pgSz w:w="15840" w:h="10800" w:orient="landscape"/>
      <w:pgMar w:top="461" w:right="864" w:bottom="490" w:left="792" w:header="144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DejaVu Sans" w:hAnsi="DejaVu Sans" w:eastAsia="DejaVu Sans"/>
        <w:b/>
        <w:i w:val="0"/>
        <w:color w:val="63717D"/>
        <w:sz w:val="12"/>
      </w:rPr>
      <w:t>TANNERYSIDE FOUNDRY  |  CONFIDENTIAL - INTERNAL DECISION BRIEFING</w:t>
    </w:r>
    <w:r>
      <w:rPr>
        <w:rFonts w:ascii="DejaVu Sans" w:hAnsi="DejaVu Sans" w:eastAsia="DejaVu Sans"/>
        <w:b w:val="0"/>
        <w:i w:val="0"/>
        <w:color w:val="63717D"/>
        <w:sz w:val="12"/>
      </w:rPr>
      <w:t xml:space="preserve">        </w:t>
    </w:r>
    <w:r>
      <w:rPr>
        <w:rFonts w:ascii="DejaVu Sans" w:hAnsi="DejaVu Sans" w:eastAsia="DejaVu Sans"/>
        <w:b/>
        <w:i w:val="0"/>
        <w:color w:val="63717D"/>
        <w:sz w:val="12"/>
      </w:rPr>
      <w:t xml:space="preserve">PAGE </w:t>
    </w:r>
    <w:fldSimple w:instr="PAGE"/>
    <w:r>
      <w:rPr>
        <w:rFonts w:ascii="DejaVu Sans" w:hAnsi="DejaVu Sans" w:eastAsia="DejaVu Sans"/>
        <w:b/>
        <w:i w:val="0"/>
        <w:color w:val="63717D"/>
        <w:sz w:val="12"/>
      </w:rPr>
      <w:t xml:space="preserve"> /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ans" w:hAnsi="DejaVu Sans" w:eastAsia="DejaVu Sans"/>
      <w:color w:val="24313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Outside-interests register - decision memorandum</dc:title>
  <dc:subject>France and Germany employee outside-interests register</dc:subject>
  <dc:creator>Jarek Ilechukwu, In-house Legal</dc:creator>
  <cp:keywords>outside interests, conflict management, France, Germany, decision briefing</cp:keywords>
  <dc:description>Peer review draft; no source workbooks supplied.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