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47A7A"/>
          <w:sz w:val="16"/>
        </w:rPr>
        <w:t>GREYHAVEN AUTHORITY  |  RECORDS OPERATIONS</w:t>
      </w:r>
    </w:p>
    <w:p>
      <w:pPr>
        <w:pStyle w:val="Title"/>
      </w:pPr>
      <w:r>
        <w:t>Record transfer briefing</w:t>
      </w:r>
    </w:p>
    <w:p>
      <w:pPr>
        <w:pStyle w:val="Subtitle"/>
      </w:pPr>
      <w:r>
        <w:rPr>
          <w:color w:val="5B6573"/>
        </w:rPr>
        <w:t>Returned draft for service-notice approval • 18 November 2028</w:t>
      </w:r>
    </w:p>
    <w:p>
      <w:pPr>
        <w:pStyle w:val="IntenseQuote"/>
      </w:pPr>
      <w:r>
        <w:t>Status: returned for correction following a challenge from Eldergrove Provisions.</w:t>
      </w:r>
    </w:p>
    <w:p>
      <w:pPr>
        <w:pStyle w:val="Heading1"/>
      </w:pPr>
      <w:r>
        <w:t>Headline</w:t>
      </w:r>
    </w:p>
    <w:p>
      <w:r>
        <w:rPr>
          <w:b/>
          <w:color w:val="17365D"/>
          <w:sz w:val="32"/>
        </w:rPr>
        <w:t>9 patient-authorised record transfers completed in Scotland</w:t>
      </w:r>
    </w:p>
    <w:p>
      <w:r>
        <w:t>Figure stated as at the close of 18 November 2028. The count was prepared from the existing public marker in the operational register.</w:t>
      </w:r>
    </w:p>
    <w:p>
      <w:pPr>
        <w:pStyle w:val="Heading1"/>
      </w:pPr>
      <w:r>
        <w:t>What is being checked</w:t>
      </w:r>
    </w:p>
    <w:p>
      <w:r>
        <w:t>Eldergrove Provisions has challenged the headline. The returned draft requires a transfer-reference review before the service notice is approved.</w:t>
      </w:r>
    </w:p>
    <w:p>
      <w:pPr>
        <w:pStyle w:val="Heading1"/>
      </w:pPr>
      <w:r>
        <w:t>Proposed public wording</w:t>
      </w:r>
    </w:p>
    <w:p>
      <w:r>
        <w:t>Greyhaven Authority has completed nine patient-authorised record transfers in Scotland by the reporting cut-off. The figure is subject to confirmation following the provider’s query.</w:t>
      </w:r>
    </w:p>
    <w:p>
      <w:pPr>
        <w:pStyle w:val="Heading1"/>
      </w:pPr>
      <w:r>
        <w:t>Decision needed</w:t>
      </w:r>
    </w:p>
    <w:p>
      <w:r>
        <w:t>Confirm the corrected figure, record the basis for any change, and advise whether the service notice should proceed in the current approval window.</w:t>
      </w:r>
    </w:p>
    <w:p>
      <w:pPr>
        <w:pStyle w:val="Caption"/>
      </w:pPr>
      <w:r>
        <w:t>Prepared by Aurelio Garrido • Records Operations • Version 0.4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A7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