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9BD5"/>
          <w:sz w:val="20"/>
        </w:rPr>
        <w:t>THE VERITY LEDGER</w:t>
      </w:r>
    </w:p>
    <w:p>
      <w:pPr>
        <w:pStyle w:val="Title"/>
        <w:jc w:val="center"/>
      </w:pPr>
      <w:r>
        <w:t>Pellhaven coverage &amp; sourcing strategy</w:t>
      </w:r>
    </w:p>
    <w:p>
      <w:pPr>
        <w:jc w:val="center"/>
      </w:pPr>
      <w:r>
        <w:rPr>
          <w:i/>
          <w:sz w:val="18"/>
        </w:rPr>
        <w:t>Decision memo | To Rosalie Duquesne, board chair, funding committee &amp; reporting team | 6 October 2025</w:t>
      </w:r>
    </w:p>
    <w:p>
      <w:pPr>
        <w:pStyle w:val="Heading1"/>
        <w:spacing w:after="60" w:line="245" w:lineRule="auto"/>
      </w:pPr>
      <w:r>
        <w:t>Decision in brief</w:t>
      </w:r>
    </w:p>
    <w:p>
      <w:pPr>
        <w:spacing w:after="60" w:line="245" w:lineRule="auto"/>
      </w:pPr>
      <w:r>
        <w:t>Renew the Pellhaven Cannery sponsorship for 2026–2027 at the planning assumption of $80,000 per year, with a written editorial firewall, prominent disclosure, and an $8,000 annual reserve for independent review and source safety. Keep a 40-visit annual plant-floor presence only as a capacity target—not a sponsor promise. This is a conditional renewal: if the cannery seeks influence over selection, framing, timing, headlines, unpublished material, or suppression, we suspend the arrangement and move to the exit path.</w:t>
      </w:r>
    </w:p>
    <w:p>
      <w:pPr>
        <w:pStyle w:val="Heading1"/>
        <w:spacing w:after="60" w:line="245" w:lineRule="auto"/>
      </w:pPr>
      <w:r>
        <w:t>Why this is the call</w:t>
      </w:r>
    </w:p>
    <w:p>
      <w:pPr>
        <w:spacing w:after="60" w:line="245" w:lineRule="auto"/>
      </w:pPr>
      <w:r>
        <w:t>The supplied record shows a real exchange: the cannery paid $72,000 in 2024 and $78,000 in 2025 (14% of the 2025 newsroom operating budget), and that support helps fund the presence that makes plant-floor reporting possible. The same record shows 36 visits in 2024 and 40 in 2025, 58/64 tips received, and 31/34 independently corroborated. Sponsorship is financially material and operationally useful; it is not evidence that coverage is legitimate, nor proof that management speaks for the community. Workers, residents, regulators, suppliers, and other affected people remain necessary perspectives.</w:t>
      </w:r>
    </w:p>
    <w:p>
      <w:pPr>
        <w:pStyle w:val="Heading1"/>
        <w:spacing w:after="60" w:line="245" w:lineRule="auto"/>
      </w:pPr>
      <w:r>
        <w:t>Two credible paths (figures from the record; projections are assumptions)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pPr>
              <w:spacing w:after="20" w:line="240" w:lineRule="auto"/>
            </w:pPr>
            <w:r>
              <w:rPr>
                <w:b/>
              </w:rPr>
              <w:t>Path</w:t>
            </w:r>
          </w:p>
        </w:tc>
        <w:tc>
          <w:tcPr>
            <w:tcW w:type="dxa" w:w="2592"/>
            <w:shd w:fill="D9EAF7"/>
          </w:tcPr>
          <w:p>
            <w:pPr>
              <w:spacing w:after="20" w:line="240" w:lineRule="auto"/>
            </w:pPr>
            <w:r>
              <w:rPr>
                <w:b/>
              </w:rPr>
              <w:t>Money (2026 / 2027)</w:t>
            </w:r>
          </w:p>
        </w:tc>
        <w:tc>
          <w:tcPr>
            <w:tcW w:type="dxa" w:w="2592"/>
            <w:shd w:fill="D9EAF7"/>
          </w:tcPr>
          <w:p>
            <w:pPr>
              <w:spacing w:after="20" w:line="240" w:lineRule="auto"/>
            </w:pPr>
            <w:r>
              <w:rPr>
                <w:b/>
              </w:rPr>
              <w:t>Presence assumption</w:t>
            </w:r>
          </w:p>
        </w:tc>
        <w:tc>
          <w:tcPr>
            <w:tcW w:type="dxa" w:w="2592"/>
            <w:shd w:fill="D9EAF7"/>
          </w:tcPr>
          <w:p>
            <w:pPr>
              <w:spacing w:after="20" w:line="240" w:lineRule="auto"/>
            </w:pPr>
            <w:r>
              <w:rPr>
                <w:b/>
              </w:rPr>
              <w:t>What we gain / give up</w:t>
            </w:r>
          </w:p>
        </w:tc>
      </w:tr>
      <w:tr>
        <w:tc>
          <w:tcPr>
            <w:tcW w:type="dxa" w:w="2592"/>
            <w:vAlign w:val="top"/>
          </w:tcPr>
          <w:p>
            <w:pPr>
              <w:spacing w:after="20" w:line="240" w:lineRule="auto"/>
            </w:pPr>
            <w:r>
              <w:t>Conditional renewal (recommended)</w:t>
            </w:r>
          </w:p>
        </w:tc>
        <w:tc>
          <w:tcPr>
            <w:tcW w:type="dxa" w:w="2592"/>
            <w:vAlign w:val="top"/>
          </w:tcPr>
          <w:p>
            <w:pPr>
              <w:spacing w:after="20" w:line="240" w:lineRule="auto"/>
            </w:pPr>
            <w:r>
              <w:t>$80k / $80k cannery sponsorship; $8k/year reserve</w:t>
            </w:r>
          </w:p>
        </w:tc>
        <w:tc>
          <w:tcPr>
            <w:tcW w:type="dxa" w:w="2592"/>
            <w:vAlign w:val="top"/>
          </w:tcPr>
          <w:p>
            <w:pPr>
              <w:spacing w:after="20" w:line="240" w:lineRule="auto"/>
            </w:pPr>
            <w:r>
              <w:t>40 plant-floor visits/year, contingent on staffing/access</w:t>
            </w:r>
          </w:p>
        </w:tc>
        <w:tc>
          <w:tcPr>
            <w:tcW w:type="dxa" w:w="2592"/>
            <w:vAlign w:val="top"/>
          </w:tcPr>
          <w:p>
            <w:pPr>
              <w:spacing w:after="20" w:line="240" w:lineRule="auto"/>
            </w:pPr>
            <w:r>
              <w:t>Capacity and continuity; accepts perceived conflict and dependence on one sponsor</w:t>
            </w:r>
          </w:p>
        </w:tc>
      </w:tr>
      <w:tr>
        <w:tc>
          <w:tcPr>
            <w:tcW w:type="dxa" w:w="2592"/>
            <w:vAlign w:val="top"/>
          </w:tcPr>
          <w:p>
            <w:pPr>
              <w:spacing w:after="20" w:line="240" w:lineRule="auto"/>
            </w:pPr>
            <w:r>
              <w:t>Decline / exit</w:t>
            </w:r>
          </w:p>
        </w:tc>
        <w:tc>
          <w:tcPr>
            <w:tcW w:type="dxa" w:w="2592"/>
            <w:vAlign w:val="top"/>
          </w:tcPr>
          <w:p>
            <w:pPr>
              <w:spacing w:after="20" w:line="240" w:lineRule="auto"/>
            </w:pPr>
            <w:r>
              <w:t>$50k / $60k diversified replacement funds</w:t>
            </w:r>
          </w:p>
        </w:tc>
        <w:tc>
          <w:tcPr>
            <w:tcW w:type="dxa" w:w="2592"/>
            <w:vAlign w:val="top"/>
          </w:tcPr>
          <w:p>
            <w:pPr>
              <w:spacing w:after="20" w:line="240" w:lineRule="auto"/>
            </w:pPr>
            <w:r>
              <w:t>24 visits/year after sponsor-supported capacity ends</w:t>
            </w:r>
          </w:p>
        </w:tc>
        <w:tc>
          <w:tcPr>
            <w:tcW w:type="dxa" w:w="2592"/>
            <w:vAlign w:val="top"/>
          </w:tcPr>
          <w:p>
            <w:pPr>
              <w:spacing w:after="20" w:line="240" w:lineRule="auto"/>
            </w:pPr>
            <w:r>
              <w:t>Less sponsor pressure; gives up $30k in 2026 and $20k in 2027 versus renewal assumption, plus frequency/access</w:t>
            </w:r>
          </w:p>
        </w:tc>
      </w:tr>
    </w:tbl>
    <w:p>
      <w:pPr>
        <w:spacing w:after="60" w:line="245" w:lineRule="auto"/>
      </w:pPr>
      <w:r>
        <w:t>The renewal wins on practical reporting capacity and funding resilience over this two-year window, but only if the firewall is real. We knowingly accept the perception cost and the possibility that access narrows despite sponsorship. The exit path is cleaner symbolically, yet its assumptions reduce presence from 40 to 24 visits and leave a replacement shortfall; neither path guarantees tips, access, or audience results.</w:t>
      </w:r>
    </w:p>
    <w:p>
      <w:pPr>
        <w:pStyle w:val="Heading1"/>
        <w:spacing w:after="60" w:line="245" w:lineRule="auto"/>
      </w:pPr>
      <w:r>
        <w:t>Operating policy for 2026–2027</w:t>
      </w:r>
    </w:p>
    <w:p>
      <w:pPr>
        <w:spacing w:after="60" w:line="245" w:lineRule="auto"/>
      </w:pPr>
      <w:r>
        <w:t>Editorial control. Sponsorship buys no favorable coverage, access to unpublished material, prior copy approval, headline approval, timing control, or suppression. Editors—not development staff, sponsors, or the board—choose stories, framing, sources, corrections, and publication. Every Pellhaven story, event page, or other public material that could reasonably create a conflict perception carries a clear, prominent sponsorship disclosure. Development may discuss benefits and logistics but cannot see confidential source material or direct assignments. Any perceived conflict is logged to the editor-in-chief and board ethics liaison; the $8,000 reserve funds an outside review when needed.</w:t>
      </w:r>
    </w:p>
    <w:p>
      <w:pPr>
        <w:spacing w:after="60" w:line="245" w:lineRule="auto"/>
      </w:pPr>
      <w:r>
        <w:t>Sourcing and safety. A plant-floor tip is a lead, never a publishable fact. Serious allegations require independent corroboration (documents, direct observation, or another genuinely independent source), not repetition among sponsor-linked contacts. Before exposing identity or identifying details, the reporter and editor assess retaliation, employment, and safety risk; minimize names and descriptors, restrict access to need-to-know staff, and never use a confidential tip to pressure, threaten, negotiate with, or obtain leverage over a source or subject. The cannery and any named subject receive a meaningful opportunity to respond before publication. Corrections are labeled and prominent; material errors are corrected promptly, and source challenges are reviewed on the record without revealing protected identities.</w:t>
      </w:r>
    </w:p>
    <w:p>
      <w:pPr>
        <w:spacing w:after="60" w:line="245" w:lineRule="auto"/>
      </w:pPr>
      <w:r>
        <w:t>Coverage focus and access. Prioritize worker safety and labor conditions; environmental and regulatory oversight; local economic decisions that affect residents; and the cannery’s suppliers and public contracts. Maintain access through scheduled reporting visits, public records, regulators, labor representatives, residents, and suppliers—not a sponsor-only channel. If access is withdrawn, the 40-visit figure is treated as missed capacity, not a reason to soften a story.</w:t>
      </w:r>
    </w:p>
    <w:p>
      <w:pPr>
        <w:pStyle w:val="Heading1"/>
        <w:spacing w:after="60" w:line="245" w:lineRule="auto"/>
      </w:pPr>
      <w:r>
        <w:t>Monitoring and the 2028 test</w:t>
      </w:r>
    </w:p>
    <w:p>
      <w:pPr>
        <w:spacing w:after="60" w:line="245" w:lineRule="auto"/>
      </w:pPr>
      <w:r>
        <w:t>At each six-month review, the editor and board liaison compare: (1) source diversity—number of non-cannery source groups and share of consequential claims corroborated independently; (2) safety and accuracy—retaliation concerns, correction count, and time to resolve challenges; (3) public value—engaged readers (2024 baseline 18,400; 2025 baseline 20,100) plus evidence of resident/regulator use, not raw clicks alone; (4) capacity—visits completed against the 40-visit assumption; and (5) sustainability—cash received versus the $80,000 assumption and progress toward diversified replacement funds. These are indicators, not guarantees.</w:t>
      </w:r>
    </w:p>
    <w:p>
      <w:pPr>
        <w:spacing w:after="60" w:line="245" w:lineRule="auto"/>
      </w:pPr>
      <w:r>
        <w:t>In the end-of-2027 review (reported to the board in early 2028), continue only if editorial decisions remained free of sponsor conditions, serious allegations met the corroboration standard, source-risk handling remained safe, non-cannery perspectives were present, and the renewal cash and presence assumptions were substantially workable. Any attempted interference, repeated uncorroborated publication, unsafe disclosure, or material funding/access miss triggers immediate renegotiation or termination and activates the exit plan.</w:t>
      </w:r>
    </w:p>
    <w:p>
      <w:pPr>
        <w:pStyle w:val="Heading1"/>
        <w:spacing w:after="60" w:line="245" w:lineRule="auto"/>
      </w:pPr>
      <w:r>
        <w:t>Decision</w:t>
      </w:r>
    </w:p>
    <w:p>
      <w:pPr>
        <w:spacing w:after="60" w:line="245" w:lineRule="auto"/>
      </w:pPr>
      <w:r>
        <w:t>Approve a conditional $80,000-per-year Pellhaven Cannery renewal for 2026–2027, a 40-visit annual capacity target, and the $8,000 annual independence/source-safety reserve. The Ledger knowingly gives up the cleanest appearance of separation and accepts that access may still tighten; in return it preserves reporting capacity while making independence, disclosure, verification, and a 2028 exit test non-negotiable.</w:t>
      </w:r>
    </w:p>
    <w:sectPr w:rsidR="00FC693F" w:rsidRPr="0006063C" w:rsidSect="00034616">
      <w:footerReference w:type="default" r:id="rId9"/>
      <w:pgSz w:w="12240" w:h="15840"/>
      <w:pgMar w:top="792"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Internal strategy memo • Source: Pellhaven coverage &amp; funding record (6 Oct 2025)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Display" w:hAnsi="Aptos Display"/>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100"/>
      <w:contextualSpacing/>
    </w:pPr>
    <w:rPr>
      <w:rFonts w:asciiTheme="majorHAnsi" w:eastAsiaTheme="majorEastAsia" w:hAnsiTheme="majorHAnsi" w:cstheme="majorBidi" w:ascii="Aptos Display" w:hAnsi="Aptos Display"/>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