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WEXMOOR UTILITIES</w:t>
        <w:br/>
        <w:t>COVENANT QUALITY-ASSURANCE DECISION MEMORANDUM</w:t>
      </w:r>
    </w:p>
    <w:tbl>
      <w:tblPr>
        <w:tblStyle w:val="TableGrid"/>
        <w:tblW w:type="auto" w:w="0"/>
        <w:jc w:val="center"/>
        <w:tblLook w:firstColumn="1" w:firstRow="1" w:lastColumn="0" w:lastRow="0" w:noHBand="0" w:noVBand="1" w:val="04A0"/>
      </w:tblPr>
      <w:tblGrid>
        <w:gridCol w:w="5184"/>
        <w:gridCol w:w="5184"/>
      </w:tblGrid>
      <w:tr>
        <w:tc>
          <w:tcPr>
            <w:tcW w:type="dxa" w:w="5184"/>
          </w:tcPr>
          <w:p>
            <w:r>
              <w:t>Intended reviewer</w:t>
            </w:r>
          </w:p>
        </w:tc>
        <w:tc>
          <w:tcPr>
            <w:tcW w:type="dxa" w:w="5184"/>
          </w:tcPr>
          <w:p>
            <w:r>
              <w:t>Jasmin Hargrove</w:t>
            </w:r>
          </w:p>
        </w:tc>
      </w:tr>
      <w:tr>
        <w:tc>
          <w:tcPr>
            <w:tcW w:type="dxa" w:w="5184"/>
          </w:tcPr>
          <w:p>
            <w:r>
              <w:t>Organisation</w:t>
            </w:r>
          </w:p>
        </w:tc>
        <w:tc>
          <w:tcPr>
            <w:tcW w:type="dxa" w:w="5184"/>
          </w:tcPr>
          <w:p>
            <w:r>
              <w:t>Wexmoor Utilities</w:t>
            </w:r>
          </w:p>
        </w:tc>
      </w:tr>
      <w:tr>
        <w:tc>
          <w:tcPr>
            <w:tcW w:type="dxa" w:w="5184"/>
          </w:tcPr>
          <w:p>
            <w:r>
              <w:t>Revised date</w:t>
            </w:r>
          </w:p>
        </w:tc>
        <w:tc>
          <w:tcPr>
            <w:tcW w:type="dxa" w:w="5184"/>
          </w:tcPr>
          <w:p>
            <w:r>
              <w:t>7 September 2026</w:t>
            </w:r>
          </w:p>
        </w:tc>
      </w:tr>
      <w:tr>
        <w:tc>
          <w:tcPr>
            <w:tcW w:type="dxa" w:w="5184"/>
          </w:tcPr>
          <w:p>
            <w:r>
              <w:t>Subject</w:t>
            </w:r>
          </w:p>
        </w:tc>
        <w:tc>
          <w:tcPr>
            <w:tcW w:type="dxa" w:w="5184"/>
          </w:tcPr>
          <w:p>
            <w:r>
              <w:t>Covenant quality assurance — regulator review</w:t>
            </w:r>
          </w:p>
        </w:tc>
      </w:tr>
    </w:tbl>
    <w:p>
      <w:pPr>
        <w:pStyle w:val="Heading1"/>
      </w:pPr>
      <w:r>
        <w:t>Purpose and scope</w:t>
      </w:r>
    </w:p>
    <w:p>
      <w:r>
        <w:t>This revised memorandum records the quality review requested for regulator review. It uses only the Wexmoor_regulator_review_pack.xlsx evidence snapshot dated 4 September 2026, the supplied financing-undertaking text and the in-scope Wexmoor Utilities entities and instruments. The projection horizon is 30 September 2026 to 30 June 2027, with tests at 30 September 2026, 31 December 2026, 31 March 2027 and 30 June 2027.</w:t>
      </w:r>
    </w:p>
    <w:p>
      <w:pPr>
        <w:pStyle w:val="Heading1"/>
      </w:pPr>
      <w:r>
        <w:t>Decision record</w:t>
      </w:r>
    </w:p>
    <w:p>
      <w:r>
        <w:t>Under the selected posting-chronology interpretation for amendment lineage L-016, net leverage and interest cover are PASS in Base and Downside at every test date. Liquidity is FAIL at 30 September 2026, 31 March 2027 and 30 June 2027 in both scenarios, and PASS at 31 December 2026. The tightest projected net-leverage and liquidity positions are Downside at 30 June 2027. These are calculated projections, not recommendations.</w:t>
      </w:r>
    </w:p>
    <w:p>
      <w:pPr>
        <w:pStyle w:val="Heading1"/>
      </w:pPr>
      <w:r>
        <w:t>Projected covenant position</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Scenario / test date</w:t>
            </w:r>
          </w:p>
        </w:tc>
        <w:tc>
          <w:tcPr>
            <w:tcW w:type="dxa" w:w="1296"/>
          </w:tcPr>
          <w:p>
            <w:r>
              <w:t>Net leverage</w:t>
            </w:r>
          </w:p>
        </w:tc>
        <w:tc>
          <w:tcPr>
            <w:tcW w:type="dxa" w:w="1296"/>
          </w:tcPr>
          <w:p>
            <w:r>
              <w:t>Lev. headroom</w:t>
            </w:r>
          </w:p>
        </w:tc>
        <w:tc>
          <w:tcPr>
            <w:tcW w:type="dxa" w:w="1296"/>
          </w:tcPr>
          <w:p>
            <w:r>
              <w:t>Status</w:t>
            </w:r>
          </w:p>
        </w:tc>
        <w:tc>
          <w:tcPr>
            <w:tcW w:type="dxa" w:w="1296"/>
          </w:tcPr>
          <w:p>
            <w:r>
              <w:t>Interest cover</w:t>
            </w:r>
          </w:p>
        </w:tc>
        <w:tc>
          <w:tcPr>
            <w:tcW w:type="dxa" w:w="1296"/>
          </w:tcPr>
          <w:p>
            <w:r>
              <w:t>Cover headroom</w:t>
            </w:r>
          </w:p>
        </w:tc>
        <w:tc>
          <w:tcPr>
            <w:tcW w:type="dxa" w:w="1296"/>
          </w:tcPr>
          <w:p>
            <w:r>
              <w:t>Liquidity</w:t>
            </w:r>
          </w:p>
        </w:tc>
        <w:tc>
          <w:tcPr>
            <w:tcW w:type="dxa" w:w="1296"/>
          </w:tcPr>
          <w:p>
            <w:r>
              <w:t>Liquidity headroom</w:t>
            </w:r>
          </w:p>
        </w:tc>
      </w:tr>
      <w:tr>
        <w:tc>
          <w:tcPr>
            <w:tcW w:type="dxa" w:w="1296"/>
          </w:tcPr>
          <w:p>
            <w:r>
              <w:t>Base</w:t>
              <w:br/>
              <w:t>30 Sep 2026</w:t>
            </w:r>
          </w:p>
        </w:tc>
        <w:tc>
          <w:tcPr>
            <w:tcW w:type="dxa" w:w="1296"/>
          </w:tcPr>
          <w:p>
            <w:r>
              <w:t>1.94x</w:t>
            </w:r>
          </w:p>
        </w:tc>
        <w:tc>
          <w:tcPr>
            <w:tcW w:type="dxa" w:w="1296"/>
          </w:tcPr>
          <w:p>
            <w:r>
              <w:t>2.31x</w:t>
            </w:r>
          </w:p>
        </w:tc>
        <w:tc>
          <w:tcPr>
            <w:tcW w:type="dxa" w:w="1296"/>
          </w:tcPr>
          <w:p>
            <w:r>
              <w:t>PASS</w:t>
            </w:r>
          </w:p>
        </w:tc>
        <w:tc>
          <w:tcPr>
            <w:tcW w:type="dxa" w:w="1296"/>
          </w:tcPr>
          <w:p>
            <w:r>
              <w:t>8.06x</w:t>
            </w:r>
          </w:p>
        </w:tc>
        <w:tc>
          <w:tcPr>
            <w:tcW w:type="dxa" w:w="1296"/>
          </w:tcPr>
          <w:p>
            <w:r>
              <w:t>5.06x</w:t>
            </w:r>
          </w:p>
        </w:tc>
        <w:tc>
          <w:tcPr>
            <w:tcW w:type="dxa" w:w="1296"/>
          </w:tcPr>
          <w:p>
            <w:r>
              <w:t>£38,000,000</w:t>
            </w:r>
          </w:p>
        </w:tc>
        <w:tc>
          <w:tcPr>
            <w:tcW w:type="dxa" w:w="1296"/>
          </w:tcPr>
          <w:p>
            <w:r>
              <w:t>£-2,000,000</w:t>
            </w:r>
          </w:p>
        </w:tc>
      </w:tr>
      <w:tr>
        <w:tc>
          <w:tcPr>
            <w:tcW w:type="dxa" w:w="1296"/>
          </w:tcPr>
          <w:p>
            <w:r>
              <w:t>Base</w:t>
              <w:br/>
              <w:t>31 Dec 2026</w:t>
            </w:r>
          </w:p>
        </w:tc>
        <w:tc>
          <w:tcPr>
            <w:tcW w:type="dxa" w:w="1296"/>
          </w:tcPr>
          <w:p>
            <w:r>
              <w:t>1.73x</w:t>
            </w:r>
          </w:p>
        </w:tc>
        <w:tc>
          <w:tcPr>
            <w:tcW w:type="dxa" w:w="1296"/>
          </w:tcPr>
          <w:p>
            <w:r>
              <w:t>2.52x</w:t>
            </w:r>
          </w:p>
        </w:tc>
        <w:tc>
          <w:tcPr>
            <w:tcW w:type="dxa" w:w="1296"/>
          </w:tcPr>
          <w:p>
            <w:r>
              <w:t>PASS</w:t>
            </w:r>
          </w:p>
        </w:tc>
        <w:tc>
          <w:tcPr>
            <w:tcW w:type="dxa" w:w="1296"/>
          </w:tcPr>
          <w:p>
            <w:r>
              <w:t>8.05x</w:t>
            </w:r>
          </w:p>
        </w:tc>
        <w:tc>
          <w:tcPr>
            <w:tcW w:type="dxa" w:w="1296"/>
          </w:tcPr>
          <w:p>
            <w:r>
              <w:t>5.05x</w:t>
            </w:r>
          </w:p>
        </w:tc>
        <w:tc>
          <w:tcPr>
            <w:tcW w:type="dxa" w:w="1296"/>
          </w:tcPr>
          <w:p>
            <w:r>
              <w:t>£56,000,000</w:t>
            </w:r>
          </w:p>
        </w:tc>
        <w:tc>
          <w:tcPr>
            <w:tcW w:type="dxa" w:w="1296"/>
          </w:tcPr>
          <w:p>
            <w:r>
              <w:t>£16,000,000</w:t>
            </w:r>
          </w:p>
        </w:tc>
      </w:tr>
      <w:tr>
        <w:tc>
          <w:tcPr>
            <w:tcW w:type="dxa" w:w="1296"/>
          </w:tcPr>
          <w:p>
            <w:r>
              <w:t>Base</w:t>
              <w:br/>
              <w:t>31 Mar 2027</w:t>
            </w:r>
          </w:p>
        </w:tc>
        <w:tc>
          <w:tcPr>
            <w:tcW w:type="dxa" w:w="1296"/>
          </w:tcPr>
          <w:p>
            <w:r>
              <w:t>2.19x</w:t>
            </w:r>
          </w:p>
        </w:tc>
        <w:tc>
          <w:tcPr>
            <w:tcW w:type="dxa" w:w="1296"/>
          </w:tcPr>
          <w:p>
            <w:r>
              <w:t>2.06x</w:t>
            </w:r>
          </w:p>
        </w:tc>
        <w:tc>
          <w:tcPr>
            <w:tcW w:type="dxa" w:w="1296"/>
          </w:tcPr>
          <w:p>
            <w:r>
              <w:t>PASS</w:t>
            </w:r>
          </w:p>
        </w:tc>
        <w:tc>
          <w:tcPr>
            <w:tcW w:type="dxa" w:w="1296"/>
          </w:tcPr>
          <w:p>
            <w:r>
              <w:t>8.05x</w:t>
            </w:r>
          </w:p>
        </w:tc>
        <w:tc>
          <w:tcPr>
            <w:tcW w:type="dxa" w:w="1296"/>
          </w:tcPr>
          <w:p>
            <w:r>
              <w:t>5.05x</w:t>
            </w:r>
          </w:p>
        </w:tc>
        <w:tc>
          <w:tcPr>
            <w:tcW w:type="dxa" w:w="1296"/>
          </w:tcPr>
          <w:p>
            <w:r>
              <w:t>£32,040,000</w:t>
            </w:r>
          </w:p>
        </w:tc>
        <w:tc>
          <w:tcPr>
            <w:tcW w:type="dxa" w:w="1296"/>
          </w:tcPr>
          <w:p>
            <w:r>
              <w:t>£-7,960,000</w:t>
            </w:r>
          </w:p>
        </w:tc>
      </w:tr>
      <w:tr>
        <w:tc>
          <w:tcPr>
            <w:tcW w:type="dxa" w:w="1296"/>
          </w:tcPr>
          <w:p>
            <w:r>
              <w:t>Base</w:t>
              <w:br/>
              <w:t>30 Jun 2027</w:t>
            </w:r>
          </w:p>
        </w:tc>
        <w:tc>
          <w:tcPr>
            <w:tcW w:type="dxa" w:w="1296"/>
          </w:tcPr>
          <w:p>
            <w:r>
              <w:t>2.19x</w:t>
            </w:r>
          </w:p>
        </w:tc>
        <w:tc>
          <w:tcPr>
            <w:tcW w:type="dxa" w:w="1296"/>
          </w:tcPr>
          <w:p>
            <w:r>
              <w:t>2.06x</w:t>
            </w:r>
          </w:p>
        </w:tc>
        <w:tc>
          <w:tcPr>
            <w:tcW w:type="dxa" w:w="1296"/>
          </w:tcPr>
          <w:p>
            <w:r>
              <w:t>PASS</w:t>
            </w:r>
          </w:p>
        </w:tc>
        <w:tc>
          <w:tcPr>
            <w:tcW w:type="dxa" w:w="1296"/>
          </w:tcPr>
          <w:p>
            <w:r>
              <w:t>8.05x</w:t>
            </w:r>
          </w:p>
        </w:tc>
        <w:tc>
          <w:tcPr>
            <w:tcW w:type="dxa" w:w="1296"/>
          </w:tcPr>
          <w:p>
            <w:r>
              <w:t>5.05x</w:t>
            </w:r>
          </w:p>
        </w:tc>
        <w:tc>
          <w:tcPr>
            <w:tcW w:type="dxa" w:w="1296"/>
          </w:tcPr>
          <w:p>
            <w:r>
              <w:t>£32,040,000</w:t>
            </w:r>
          </w:p>
        </w:tc>
        <w:tc>
          <w:tcPr>
            <w:tcW w:type="dxa" w:w="1296"/>
          </w:tcPr>
          <w:p>
            <w:r>
              <w:t>£-7,960,000</w:t>
            </w:r>
          </w:p>
        </w:tc>
      </w:tr>
      <w:tr>
        <w:tc>
          <w:tcPr>
            <w:tcW w:type="dxa" w:w="1296"/>
          </w:tcPr>
          <w:p>
            <w:r>
              <w:t>Downside</w:t>
              <w:br/>
              <w:t>30 Sep 2026</w:t>
            </w:r>
          </w:p>
        </w:tc>
        <w:tc>
          <w:tcPr>
            <w:tcW w:type="dxa" w:w="1296"/>
          </w:tcPr>
          <w:p>
            <w:r>
              <w:t>1.94x</w:t>
            </w:r>
          </w:p>
        </w:tc>
        <w:tc>
          <w:tcPr>
            <w:tcW w:type="dxa" w:w="1296"/>
          </w:tcPr>
          <w:p>
            <w:r>
              <w:t>2.31x</w:t>
            </w:r>
          </w:p>
        </w:tc>
        <w:tc>
          <w:tcPr>
            <w:tcW w:type="dxa" w:w="1296"/>
          </w:tcPr>
          <w:p>
            <w:r>
              <w:t>PASS</w:t>
            </w:r>
          </w:p>
        </w:tc>
        <w:tc>
          <w:tcPr>
            <w:tcW w:type="dxa" w:w="1296"/>
          </w:tcPr>
          <w:p>
            <w:r>
              <w:t>8.06x</w:t>
            </w:r>
          </w:p>
        </w:tc>
        <w:tc>
          <w:tcPr>
            <w:tcW w:type="dxa" w:w="1296"/>
          </w:tcPr>
          <w:p>
            <w:r>
              <w:t>5.06x</w:t>
            </w:r>
          </w:p>
        </w:tc>
        <w:tc>
          <w:tcPr>
            <w:tcW w:type="dxa" w:w="1296"/>
          </w:tcPr>
          <w:p>
            <w:r>
              <w:t>£38,000,000</w:t>
            </w:r>
          </w:p>
        </w:tc>
        <w:tc>
          <w:tcPr>
            <w:tcW w:type="dxa" w:w="1296"/>
          </w:tcPr>
          <w:p>
            <w:r>
              <w:t>£-2,000,000</w:t>
            </w:r>
          </w:p>
        </w:tc>
      </w:tr>
      <w:tr>
        <w:tc>
          <w:tcPr>
            <w:tcW w:type="dxa" w:w="1296"/>
          </w:tcPr>
          <w:p>
            <w:r>
              <w:t>Downside</w:t>
              <w:br/>
              <w:t>31 Dec 2026</w:t>
            </w:r>
          </w:p>
        </w:tc>
        <w:tc>
          <w:tcPr>
            <w:tcW w:type="dxa" w:w="1296"/>
          </w:tcPr>
          <w:p>
            <w:r>
              <w:t>1.72x</w:t>
            </w:r>
          </w:p>
        </w:tc>
        <w:tc>
          <w:tcPr>
            <w:tcW w:type="dxa" w:w="1296"/>
          </w:tcPr>
          <w:p>
            <w:r>
              <w:t>2.53x</w:t>
            </w:r>
          </w:p>
        </w:tc>
        <w:tc>
          <w:tcPr>
            <w:tcW w:type="dxa" w:w="1296"/>
          </w:tcPr>
          <w:p>
            <w:r>
              <w:t>PASS</w:t>
            </w:r>
          </w:p>
        </w:tc>
        <w:tc>
          <w:tcPr>
            <w:tcW w:type="dxa" w:w="1296"/>
          </w:tcPr>
          <w:p>
            <w:r>
              <w:t>7.81x</w:t>
            </w:r>
          </w:p>
        </w:tc>
        <w:tc>
          <w:tcPr>
            <w:tcW w:type="dxa" w:w="1296"/>
          </w:tcPr>
          <w:p>
            <w:r>
              <w:t>4.81x</w:t>
            </w:r>
          </w:p>
        </w:tc>
        <w:tc>
          <w:tcPr>
            <w:tcW w:type="dxa" w:w="1296"/>
          </w:tcPr>
          <w:p>
            <w:r>
              <w:t>£59,000,000</w:t>
            </w:r>
          </w:p>
        </w:tc>
        <w:tc>
          <w:tcPr>
            <w:tcW w:type="dxa" w:w="1296"/>
          </w:tcPr>
          <w:p>
            <w:r>
              <w:t>£19,000,000</w:t>
            </w:r>
          </w:p>
        </w:tc>
      </w:tr>
      <w:tr>
        <w:tc>
          <w:tcPr>
            <w:tcW w:type="dxa" w:w="1296"/>
          </w:tcPr>
          <w:p>
            <w:r>
              <w:t>Downside</w:t>
              <w:br/>
              <w:t>31 Mar 2027</w:t>
            </w:r>
          </w:p>
        </w:tc>
        <w:tc>
          <w:tcPr>
            <w:tcW w:type="dxa" w:w="1296"/>
          </w:tcPr>
          <w:p>
            <w:r>
              <w:t>2.69x</w:t>
            </w:r>
          </w:p>
        </w:tc>
        <w:tc>
          <w:tcPr>
            <w:tcW w:type="dxa" w:w="1296"/>
          </w:tcPr>
          <w:p>
            <w:r>
              <w:t>1.56x</w:t>
            </w:r>
          </w:p>
        </w:tc>
        <w:tc>
          <w:tcPr>
            <w:tcW w:type="dxa" w:w="1296"/>
          </w:tcPr>
          <w:p>
            <w:r>
              <w:t>PASS</w:t>
            </w:r>
          </w:p>
        </w:tc>
        <w:tc>
          <w:tcPr>
            <w:tcW w:type="dxa" w:w="1296"/>
          </w:tcPr>
          <w:p>
            <w:r>
              <w:t>6.39x</w:t>
            </w:r>
          </w:p>
        </w:tc>
        <w:tc>
          <w:tcPr>
            <w:tcW w:type="dxa" w:w="1296"/>
          </w:tcPr>
          <w:p>
            <w:r>
              <w:t>3.39x</w:t>
            </w:r>
          </w:p>
        </w:tc>
        <w:tc>
          <w:tcPr>
            <w:tcW w:type="dxa" w:w="1296"/>
          </w:tcPr>
          <w:p>
            <w:r>
              <w:t>£21,225,000</w:t>
            </w:r>
          </w:p>
        </w:tc>
        <w:tc>
          <w:tcPr>
            <w:tcW w:type="dxa" w:w="1296"/>
          </w:tcPr>
          <w:p>
            <w:r>
              <w:t>£-18,775,000</w:t>
            </w:r>
          </w:p>
        </w:tc>
      </w:tr>
      <w:tr>
        <w:tc>
          <w:tcPr>
            <w:tcW w:type="dxa" w:w="1296"/>
          </w:tcPr>
          <w:p>
            <w:r>
              <w:t>Downside</w:t>
              <w:br/>
              <w:t>30 Jun 2027</w:t>
            </w:r>
          </w:p>
        </w:tc>
        <w:tc>
          <w:tcPr>
            <w:tcW w:type="dxa" w:w="1296"/>
          </w:tcPr>
          <w:p>
            <w:r>
              <w:t>2.69x</w:t>
            </w:r>
          </w:p>
        </w:tc>
        <w:tc>
          <w:tcPr>
            <w:tcW w:type="dxa" w:w="1296"/>
          </w:tcPr>
          <w:p>
            <w:r>
              <w:t>1.56x</w:t>
            </w:r>
          </w:p>
        </w:tc>
        <w:tc>
          <w:tcPr>
            <w:tcW w:type="dxa" w:w="1296"/>
          </w:tcPr>
          <w:p>
            <w:r>
              <w:t>PASS</w:t>
            </w:r>
          </w:p>
        </w:tc>
        <w:tc>
          <w:tcPr>
            <w:tcW w:type="dxa" w:w="1296"/>
          </w:tcPr>
          <w:p>
            <w:r>
              <w:t>6.39x</w:t>
            </w:r>
          </w:p>
        </w:tc>
        <w:tc>
          <w:tcPr>
            <w:tcW w:type="dxa" w:w="1296"/>
          </w:tcPr>
          <w:p>
            <w:r>
              <w:t>3.39x</w:t>
            </w:r>
          </w:p>
        </w:tc>
        <w:tc>
          <w:tcPr>
            <w:tcW w:type="dxa" w:w="1296"/>
          </w:tcPr>
          <w:p>
            <w:r>
              <w:t>£21,225,000</w:t>
            </w:r>
          </w:p>
        </w:tc>
        <w:tc>
          <w:tcPr>
            <w:tcW w:type="dxa" w:w="1296"/>
          </w:tcPr>
          <w:p>
            <w:r>
              <w:t>£-18,775,000</w:t>
            </w:r>
          </w:p>
        </w:tc>
      </w:tr>
    </w:tbl>
    <w:p>
      <w:pPr>
        <w:pStyle w:val="Heading1"/>
      </w:pPr>
      <w:r>
        <w:t>State reconciliation observations</w:t>
      </w:r>
    </w:p>
    <w:p>
      <w:r>
        <w:t>The opening state replay begins with gross debt £115,000,000, unrestricted cash £25,000,000, covenant EBITDA £50,000,000, cash interest £6,200,000 and undrawn committed facilities £20,000,000. Event-level source references, applied values and exclusions are retained in the Event Bridge sheet of Wexmoor_covenant_reconciliation.xlsx. EV-008 applies the Base note amount £18,460,000; EV-012 applies the Downside note amount £15,275,000; EV-013 uses the noted effective date 18 January 2027; EV-015 is excluded.</w:t>
      </w:r>
    </w:p>
    <w:p>
      <w:pPr>
        <w:pStyle w:val="Heading1"/>
      </w:pPr>
      <w:r>
        <w:t>Quality observations and interpretation</w:t>
      </w:r>
    </w:p>
    <w:p>
      <w:r>
        <w:t>RATE-002 is a substantive normalized rate variance: 4.5100% versus a 4.3700% comparison basis, a 0.1400 percentage-point difference exceeding the supplied 0.0001 percentage-point tolerance. It is recorded as open with owner Tamsin Hutchins, due 11 September 2026, priority High and status Open. RATE-001 (0.0437000000006 versus 0.0437) is equivalent at the supplied precision and is documented as a precision-only diagnostic; it is not an open quality exception, covenant breach or substantive variance, and no owner or due date is assigned.</w:t>
      </w:r>
    </w:p>
    <w:p>
      <w:r>
        <w:t>Lineage L-016 contains EV-016 (original £6,000,000) and EV-017 (amendment £9,000,000), with posting and effective chronology pointing to different outcomes and no governing hierarchy in the supplied evidence. The package selects posting chronology: the later-posted EV-017 amendment is used and EV-016 is excluded. This interpretation is applied consistently to all scenario states and covenant results.</w:t>
      </w:r>
    </w:p>
    <w:p>
      <w:pPr>
        <w:pStyle w:val="Heading1"/>
      </w:pPr>
      <w:r>
        <w:t>Review-comment closure and source trail</w:t>
      </w:r>
    </w:p>
    <w:p>
      <w:r>
        <w:t>The reconciliation includes both scenarios and all four dates; current definitions and thresholds (4.25x maximum leverage, 3.00x minimum cover and £40,000,000 liquidity floor); an opening-state and event bridge; rate diagnostics separating precision noise from the substantive variance; the L-016 precedence disclosure; source-supported issue controls; neutral, non-advisory wording; and cross-deliverable displayed-precision agreement. Source references identify the originating sheet and event, rate or comment ID.</w:t>
      </w:r>
    </w:p>
    <w:p>
      <w:r>
        <w:t>This memorandum is a factual quality-assurance record for regulator review. It does not recommend or direct a course of action.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